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B7DB9" w14:textId="77777777" w:rsidR="00B270DE" w:rsidRDefault="00504A3C" w:rsidP="00B270DE">
      <w:pPr>
        <w:jc w:val="right"/>
        <w:rPr>
          <w:rFonts w:ascii="Calibri" w:hAnsi="Calibri" w:cs="Calibri"/>
          <w:color w:val="000000"/>
          <w:sz w:val="20"/>
        </w:rPr>
      </w:pPr>
      <w:r>
        <w:rPr>
          <w:rFonts w:ascii="Calibri" w:hAnsi="Calibri" w:cs="Calibri"/>
          <w:color w:val="000000"/>
          <w:sz w:val="20"/>
        </w:rPr>
        <w:t>20</w:t>
      </w:r>
      <w:r w:rsidR="00666D61" w:rsidRPr="00A278CC">
        <w:rPr>
          <w:rFonts w:ascii="Calibri" w:hAnsi="Calibri" w:cs="Calibri"/>
          <w:color w:val="000000"/>
          <w:sz w:val="20"/>
        </w:rPr>
        <w:t>.1</w:t>
      </w:r>
      <w:r>
        <w:rPr>
          <w:rFonts w:ascii="Calibri" w:hAnsi="Calibri" w:cs="Calibri"/>
          <w:color w:val="000000"/>
          <w:sz w:val="20"/>
        </w:rPr>
        <w:t>2</w:t>
      </w:r>
      <w:r w:rsidR="00666D61" w:rsidRPr="00A278CC">
        <w:rPr>
          <w:rFonts w:ascii="Calibri" w:hAnsi="Calibri" w:cs="Calibri"/>
          <w:color w:val="000000"/>
          <w:sz w:val="20"/>
        </w:rPr>
        <w:t>.20</w:t>
      </w:r>
      <w:r>
        <w:rPr>
          <w:rFonts w:ascii="Calibri" w:hAnsi="Calibri" w:cs="Calibri"/>
          <w:color w:val="000000"/>
          <w:sz w:val="20"/>
        </w:rPr>
        <w:t>1</w:t>
      </w:r>
      <w:r w:rsidR="00666D61" w:rsidRPr="00A278CC">
        <w:rPr>
          <w:rFonts w:ascii="Calibri" w:hAnsi="Calibri" w:cs="Calibri"/>
          <w:color w:val="000000"/>
          <w:sz w:val="20"/>
        </w:rPr>
        <w:t>6. Ministru kabineta noteikumu Nr.</w:t>
      </w:r>
      <w:r>
        <w:rPr>
          <w:rFonts w:ascii="Calibri" w:hAnsi="Calibri" w:cs="Calibri"/>
          <w:color w:val="000000"/>
          <w:sz w:val="20"/>
        </w:rPr>
        <w:t>81</w:t>
      </w:r>
      <w:r w:rsidR="00666D61" w:rsidRPr="00A278CC">
        <w:rPr>
          <w:rFonts w:ascii="Calibri" w:hAnsi="Calibri" w:cs="Calibri"/>
          <w:color w:val="000000"/>
          <w:sz w:val="20"/>
        </w:rPr>
        <w:t>2 pielikums Nr.</w:t>
      </w:r>
      <w:r>
        <w:rPr>
          <w:rFonts w:ascii="Calibri" w:hAnsi="Calibri" w:cs="Calibri"/>
          <w:color w:val="000000"/>
          <w:sz w:val="20"/>
        </w:rPr>
        <w:t>64</w:t>
      </w:r>
    </w:p>
    <w:p w14:paraId="708A8617" w14:textId="77777777" w:rsidR="00E85E4A" w:rsidRDefault="00E85E4A" w:rsidP="00E85E4A">
      <w:pPr>
        <w:spacing w:before="120"/>
        <w:jc w:val="center"/>
        <w:rPr>
          <w:rFonts w:ascii="Calibri" w:hAnsi="Calibri" w:cs="Calibri"/>
          <w:b/>
          <w:sz w:val="28"/>
          <w:szCs w:val="28"/>
        </w:rPr>
      </w:pPr>
      <w:r>
        <w:rPr>
          <w:rFonts w:ascii="Calibri" w:hAnsi="Calibri" w:cs="Calibri"/>
          <w:b/>
          <w:sz w:val="28"/>
          <w:szCs w:val="28"/>
        </w:rPr>
        <w:t xml:space="preserve">Norādījumi veidlapas „Pārskats par finansiālo stāvokli” (1-F) aizpildīšanai </w:t>
      </w:r>
    </w:p>
    <w:p w14:paraId="0D470A3C" w14:textId="77777777" w:rsidR="00E85E4A" w:rsidRDefault="00E85E4A" w:rsidP="00E85E4A">
      <w:pPr>
        <w:ind w:left="360"/>
        <w:jc w:val="center"/>
        <w:rPr>
          <w:rFonts w:ascii="Calibri" w:hAnsi="Calibri" w:cs="Calibri"/>
          <w:b/>
          <w:bCs/>
          <w:caps/>
          <w:sz w:val="28"/>
          <w:szCs w:val="28"/>
        </w:rPr>
      </w:pPr>
    </w:p>
    <w:p w14:paraId="7960463B" w14:textId="77777777" w:rsidR="00E85E4A" w:rsidRDefault="00E85E4A" w:rsidP="00E85E4A">
      <w:pPr>
        <w:rPr>
          <w:rFonts w:ascii="Calibri" w:hAnsi="Calibri" w:cs="Calibri"/>
          <w:b/>
          <w:bCs/>
          <w:caps/>
          <w:sz w:val="20"/>
        </w:rPr>
        <w:sectPr w:rsidR="00E85E4A" w:rsidSect="00E85E4A">
          <w:footerReference w:type="default" r:id="rId8"/>
          <w:type w:val="continuous"/>
          <w:pgSz w:w="11906" w:h="16838"/>
          <w:pgMar w:top="851" w:right="567" w:bottom="567" w:left="851" w:header="567" w:footer="567" w:gutter="0"/>
          <w:cols w:space="720"/>
          <w:titlePg/>
          <w:docGrid w:linePitch="326"/>
        </w:sectPr>
      </w:pPr>
    </w:p>
    <w:p w14:paraId="7D734C9A" w14:textId="77777777" w:rsidR="00E85E4A" w:rsidRDefault="00E85E4A" w:rsidP="00E85E4A">
      <w:pPr>
        <w:spacing w:after="120"/>
        <w:ind w:left="358" w:hanging="539"/>
        <w:jc w:val="center"/>
        <w:rPr>
          <w:rFonts w:ascii="Calibri" w:hAnsi="Calibri" w:cs="Calibri"/>
          <w:caps/>
          <w:szCs w:val="22"/>
        </w:rPr>
      </w:pPr>
      <w:r>
        <w:rPr>
          <w:rFonts w:ascii="Calibri" w:hAnsi="Calibri" w:cs="Calibri"/>
          <w:b/>
          <w:bCs/>
          <w:caps/>
          <w:szCs w:val="22"/>
        </w:rPr>
        <w:t xml:space="preserve">1. </w:t>
      </w:r>
      <w:r>
        <w:rPr>
          <w:rFonts w:ascii="Calibri" w:hAnsi="Calibri" w:cs="Calibri"/>
          <w:b/>
          <w:bCs/>
          <w:szCs w:val="22"/>
        </w:rPr>
        <w:t>Vispārīgie norādījumi</w:t>
      </w:r>
    </w:p>
    <w:p w14:paraId="4B4EA3DC"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Ceturkšņa pārskatu par finansiālo stāvokli veido šādas sadaļas:</w:t>
      </w:r>
    </w:p>
    <w:p w14:paraId="22F108C3"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„1. </w:t>
      </w:r>
      <w:r>
        <w:rPr>
          <w:rFonts w:ascii="Calibri" w:hAnsi="Calibri" w:cs="Calibri"/>
          <w:bCs/>
          <w:sz w:val="22"/>
          <w:szCs w:val="22"/>
        </w:rPr>
        <w:t>Bilances aktīvs</w:t>
      </w:r>
      <w:r>
        <w:rPr>
          <w:rFonts w:ascii="Calibri" w:hAnsi="Calibri" w:cs="Calibri"/>
          <w:sz w:val="22"/>
          <w:szCs w:val="22"/>
        </w:rPr>
        <w:t>”;</w:t>
      </w:r>
    </w:p>
    <w:p w14:paraId="13E9F284"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„2. </w:t>
      </w:r>
      <w:r>
        <w:rPr>
          <w:rFonts w:ascii="Calibri" w:hAnsi="Calibri" w:cs="Calibri"/>
          <w:bCs/>
          <w:sz w:val="22"/>
          <w:szCs w:val="22"/>
        </w:rPr>
        <w:t>Bilances pasīvs</w:t>
      </w:r>
      <w:r>
        <w:rPr>
          <w:rFonts w:ascii="Calibri" w:hAnsi="Calibri" w:cs="Calibri"/>
          <w:sz w:val="22"/>
          <w:szCs w:val="22"/>
        </w:rPr>
        <w:t>”;</w:t>
      </w:r>
    </w:p>
    <w:p w14:paraId="110964FC" w14:textId="77777777" w:rsidR="00E85E4A" w:rsidRDefault="00E85E4A" w:rsidP="00E85E4A">
      <w:pPr>
        <w:ind w:left="700" w:hanging="133"/>
        <w:jc w:val="both"/>
        <w:rPr>
          <w:rFonts w:ascii="Calibri" w:hAnsi="Calibri" w:cs="Calibri"/>
          <w:sz w:val="22"/>
          <w:szCs w:val="22"/>
        </w:rPr>
      </w:pPr>
      <w:r>
        <w:rPr>
          <w:rFonts w:ascii="Calibri" w:hAnsi="Calibri" w:cs="Calibri"/>
          <w:sz w:val="22"/>
          <w:szCs w:val="22"/>
        </w:rPr>
        <w:t>- „3. Pārskata ceturkšņa peļņas vai zaudējumu aprēķins”;</w:t>
      </w:r>
    </w:p>
    <w:p w14:paraId="3073BF69" w14:textId="77777777" w:rsidR="00E85E4A" w:rsidRPr="00785AA3" w:rsidRDefault="00E85E4A" w:rsidP="00E85E4A">
      <w:pPr>
        <w:tabs>
          <w:tab w:val="num" w:pos="798"/>
        </w:tabs>
        <w:ind w:left="567"/>
        <w:jc w:val="both"/>
        <w:rPr>
          <w:rFonts w:ascii="Calibri" w:hAnsi="Calibri" w:cs="Calibri"/>
          <w:sz w:val="22"/>
          <w:szCs w:val="22"/>
        </w:rPr>
      </w:pPr>
      <w:r w:rsidRPr="00785AA3">
        <w:rPr>
          <w:rFonts w:ascii="Calibri" w:hAnsi="Calibri" w:cs="Calibri"/>
          <w:sz w:val="22"/>
          <w:szCs w:val="22"/>
        </w:rPr>
        <w:t xml:space="preserve">- </w:t>
      </w:r>
      <w:bookmarkStart w:id="0" w:name="_Hlk12005773"/>
      <w:r w:rsidRPr="00785AA3">
        <w:rPr>
          <w:rFonts w:ascii="Calibri" w:hAnsi="Calibri" w:cs="Calibri"/>
          <w:sz w:val="22"/>
          <w:szCs w:val="22"/>
        </w:rPr>
        <w:t>„4. „Operatīvā noma”</w:t>
      </w:r>
      <w:bookmarkEnd w:id="0"/>
      <w:r w:rsidRPr="00785AA3">
        <w:rPr>
          <w:rFonts w:ascii="Calibri" w:hAnsi="Calibri" w:cs="Calibri"/>
          <w:sz w:val="22"/>
          <w:szCs w:val="22"/>
        </w:rPr>
        <w:t>;</w:t>
      </w:r>
    </w:p>
    <w:p w14:paraId="6382EAE5"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„5. „Ārpusbilance”.</w:t>
      </w:r>
    </w:p>
    <w:p w14:paraId="307A4589"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Visus rādītājus veidlapā uzrāda </w:t>
      </w:r>
      <w:proofErr w:type="spellStart"/>
      <w:r>
        <w:rPr>
          <w:rFonts w:ascii="Calibri" w:hAnsi="Calibri" w:cs="Calibri"/>
          <w:i/>
          <w:sz w:val="22"/>
          <w:szCs w:val="22"/>
        </w:rPr>
        <w:t>euro</w:t>
      </w:r>
      <w:proofErr w:type="spellEnd"/>
      <w:r>
        <w:rPr>
          <w:rFonts w:ascii="Calibri" w:hAnsi="Calibri" w:cs="Calibri"/>
          <w:sz w:val="22"/>
          <w:szCs w:val="22"/>
        </w:rPr>
        <w:t xml:space="preserve"> un veselos skaitļos.</w:t>
      </w:r>
    </w:p>
    <w:p w14:paraId="5DCA5349" w14:textId="77777777" w:rsidR="00E85E4A" w:rsidRDefault="00E85E4A" w:rsidP="00E85E4A">
      <w:pPr>
        <w:numPr>
          <w:ilvl w:val="0"/>
          <w:numId w:val="8"/>
        </w:numPr>
        <w:tabs>
          <w:tab w:val="clear" w:pos="2204"/>
          <w:tab w:val="num" w:pos="360"/>
        </w:tabs>
        <w:ind w:left="284" w:hanging="284"/>
        <w:rPr>
          <w:rFonts w:ascii="Calibri" w:hAnsi="Calibri" w:cs="Calibri"/>
          <w:sz w:val="22"/>
          <w:szCs w:val="22"/>
        </w:rPr>
      </w:pPr>
      <w:r>
        <w:rPr>
          <w:rFonts w:ascii="Calibri" w:hAnsi="Calibri" w:cs="Calibri"/>
          <w:sz w:val="22"/>
          <w:szCs w:val="22"/>
        </w:rPr>
        <w:t xml:space="preserve">Pārskatu iesniedz: </w:t>
      </w:r>
    </w:p>
    <w:p w14:paraId="35EA1267"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1.ceturksni līdz 30.aprīlim,</w:t>
      </w:r>
    </w:p>
    <w:p w14:paraId="6FD0CF0F"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2.ceturksni līdz 15.jūlijam,</w:t>
      </w:r>
    </w:p>
    <w:p w14:paraId="38A463E4"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3.ceturksni līdz 15.oktobrim,</w:t>
      </w:r>
    </w:p>
    <w:p w14:paraId="1598FBF8" w14:textId="04D54004" w:rsidR="00E85E4A" w:rsidRDefault="00E85E4A" w:rsidP="00E85E4A">
      <w:pPr>
        <w:tabs>
          <w:tab w:val="num" w:pos="350"/>
        </w:tabs>
        <w:ind w:left="567"/>
        <w:rPr>
          <w:rFonts w:ascii="Calibri" w:hAnsi="Calibri" w:cs="Calibri"/>
          <w:sz w:val="22"/>
          <w:szCs w:val="22"/>
        </w:rPr>
      </w:pPr>
      <w:r>
        <w:rPr>
          <w:rFonts w:ascii="Calibri" w:hAnsi="Calibri" w:cs="Calibri"/>
          <w:sz w:val="22"/>
          <w:szCs w:val="22"/>
        </w:rPr>
        <w:t xml:space="preserve">par 4.ceturksni līdz </w:t>
      </w:r>
      <w:r w:rsidRPr="00785AA3">
        <w:rPr>
          <w:rFonts w:ascii="Calibri" w:hAnsi="Calibri" w:cs="Calibri"/>
          <w:sz w:val="22"/>
          <w:szCs w:val="22"/>
        </w:rPr>
        <w:t>202</w:t>
      </w:r>
      <w:r w:rsidR="008C0DDB">
        <w:rPr>
          <w:rFonts w:ascii="Calibri" w:hAnsi="Calibri" w:cs="Calibri"/>
          <w:sz w:val="22"/>
          <w:szCs w:val="22"/>
        </w:rPr>
        <w:t>2</w:t>
      </w:r>
      <w:r w:rsidRPr="00785AA3">
        <w:rPr>
          <w:rFonts w:ascii="Calibri" w:hAnsi="Calibri" w:cs="Calibri"/>
          <w:sz w:val="22"/>
          <w:szCs w:val="22"/>
        </w:rPr>
        <w:t xml:space="preserve">.gada </w:t>
      </w:r>
      <w:r>
        <w:rPr>
          <w:rFonts w:ascii="Calibri" w:hAnsi="Calibri" w:cs="Calibri"/>
          <w:sz w:val="22"/>
          <w:szCs w:val="22"/>
        </w:rPr>
        <w:t>10.februārim.</w:t>
      </w:r>
      <w:r>
        <w:rPr>
          <w:rFonts w:ascii="Calibri" w:hAnsi="Calibri" w:cs="Calibri"/>
          <w:b/>
          <w:i/>
          <w:sz w:val="22"/>
          <w:szCs w:val="22"/>
        </w:rPr>
        <w:t xml:space="preserve"> </w:t>
      </w:r>
    </w:p>
    <w:p w14:paraId="29072047"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Helv"/>
          <w:sz w:val="22"/>
          <w:szCs w:val="22"/>
          <w:lang w:eastAsia="lv-LV"/>
        </w:rPr>
        <w:t>Peļņas vai zaudējumu aprēķina</w:t>
      </w:r>
      <w:r>
        <w:rPr>
          <w:rFonts w:ascii="Helv" w:hAnsi="Helv" w:cs="Helv"/>
          <w:color w:val="000000"/>
          <w:sz w:val="20"/>
          <w:lang w:eastAsia="lv-LV"/>
        </w:rPr>
        <w:t xml:space="preserve"> </w:t>
      </w:r>
      <w:r>
        <w:rPr>
          <w:rFonts w:ascii="Calibri" w:hAnsi="Calibri" w:cs="Calibri"/>
          <w:sz w:val="22"/>
          <w:szCs w:val="22"/>
        </w:rPr>
        <w:t>dati katru ceturksni ir jāuzrāda tikai par pārskata ceturksni, nevis no gada sākuma.</w:t>
      </w:r>
    </w:p>
    <w:p w14:paraId="116E0CB4"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Ja uzņēmuma finanšu gads nesakrīt ar kalendāro gadu, tad šajā pārskatā uzrāda datus par uzņēmuma pēdējo noslēgto ceturksni.</w:t>
      </w:r>
    </w:p>
    <w:p w14:paraId="45E9FEC0"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Ceturkšņos iesniedz operatīvo informāciju.</w:t>
      </w:r>
    </w:p>
    <w:p w14:paraId="3CDEEFC8" w14:textId="77777777" w:rsidR="00E85E4A" w:rsidRDefault="00E85E4A" w:rsidP="00E85E4A">
      <w:pPr>
        <w:tabs>
          <w:tab w:val="num" w:pos="350"/>
        </w:tabs>
        <w:ind w:left="360" w:hanging="360"/>
        <w:jc w:val="center"/>
        <w:rPr>
          <w:rFonts w:ascii="Calibri" w:hAnsi="Calibri" w:cs="Calibri"/>
          <w:b/>
          <w:bCs/>
          <w:caps/>
          <w:sz w:val="22"/>
          <w:szCs w:val="22"/>
        </w:rPr>
      </w:pPr>
    </w:p>
    <w:p w14:paraId="4FA191F0" w14:textId="77777777" w:rsidR="00E85E4A" w:rsidRDefault="00E85E4A" w:rsidP="00E85E4A">
      <w:pPr>
        <w:tabs>
          <w:tab w:val="num" w:pos="350"/>
        </w:tabs>
        <w:spacing w:after="120"/>
        <w:ind w:left="357" w:hanging="357"/>
        <w:jc w:val="center"/>
        <w:rPr>
          <w:rFonts w:ascii="Calibri" w:hAnsi="Calibri" w:cs="Calibri"/>
          <w:iCs/>
          <w:szCs w:val="22"/>
        </w:rPr>
      </w:pPr>
      <w:r>
        <w:rPr>
          <w:rFonts w:ascii="Calibri" w:hAnsi="Calibri" w:cs="Calibri"/>
          <w:b/>
          <w:bCs/>
          <w:caps/>
          <w:szCs w:val="22"/>
        </w:rPr>
        <w:t xml:space="preserve">2. </w:t>
      </w:r>
      <w:r>
        <w:rPr>
          <w:rFonts w:ascii="Calibri" w:hAnsi="Calibri" w:cs="Calibri"/>
          <w:b/>
          <w:bCs/>
          <w:szCs w:val="22"/>
        </w:rPr>
        <w:t>Īpaši noteikumi atsevišķiem bilances aktīva posteņiem</w:t>
      </w:r>
    </w:p>
    <w:p w14:paraId="04688C91"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11510. rindā </w:t>
      </w:r>
      <w:r>
        <w:rPr>
          <w:rFonts w:ascii="Calibri" w:hAnsi="Calibri" w:cs="Calibri"/>
          <w:b/>
          <w:bCs/>
          <w:sz w:val="22"/>
          <w:szCs w:val="22"/>
          <w:lang w:val="lv-LV"/>
        </w:rPr>
        <w:t>„Kotētās akcijas”</w:t>
      </w:r>
      <w:r>
        <w:rPr>
          <w:rFonts w:ascii="Calibri" w:hAnsi="Calibri" w:cs="Calibri"/>
          <w:sz w:val="22"/>
          <w:szCs w:val="22"/>
          <w:lang w:val="lv-LV"/>
        </w:rPr>
        <w:t xml:space="preserve"> norāda tās akcijas, kuras iekļautas Rīgas Fondu biržas sarakstos un ar kurām notiek tirdzniecība regulētajā tirgū.</w:t>
      </w:r>
    </w:p>
    <w:p w14:paraId="39E54B2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C7FEA29"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4246F11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369B390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„Līdzdalība radniecīgas sabiedrības kapitālā”,</w:t>
      </w:r>
    </w:p>
    <w:p w14:paraId="7BE679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53C9A4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79C7B822"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7DEFF3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795C645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688323E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„Pārējie vērtspapīri un līdzdalība kapitālos”</w:t>
      </w:r>
      <w:r>
        <w:rPr>
          <w:rFonts w:ascii="Calibri" w:hAnsi="Calibri" w:cs="Calibri"/>
          <w:sz w:val="22"/>
          <w:szCs w:val="22"/>
        </w:rPr>
        <w:t xml:space="preserve"> sastāvdaļas.</w:t>
      </w:r>
    </w:p>
    <w:p w14:paraId="0A05CA03" w14:textId="77777777" w:rsidR="00E85E4A" w:rsidRDefault="00E85E4A" w:rsidP="00E85E4A">
      <w:pPr>
        <w:pStyle w:val="Foote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11520. rindā </w:t>
      </w:r>
      <w:r>
        <w:rPr>
          <w:rFonts w:ascii="Calibri" w:hAnsi="Calibri" w:cs="Calibri"/>
          <w:b/>
          <w:bCs/>
          <w:sz w:val="22"/>
          <w:szCs w:val="22"/>
        </w:rPr>
        <w:t>„Nekotētās akcijas”</w:t>
      </w:r>
      <w:r>
        <w:rPr>
          <w:rFonts w:ascii="Calibri" w:hAnsi="Calibri" w:cs="Calibri"/>
          <w:sz w:val="22"/>
          <w:szCs w:val="22"/>
        </w:rPr>
        <w:t xml:space="preserve"> norāda tās akcijas, ar kurām nenotiek tirdzniecība regulētajā tirgū. Informācija šajā rindā ir bilances aktīva:</w:t>
      </w:r>
    </w:p>
    <w:p w14:paraId="1B238E3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3E128AA6"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685DD98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w:t>
      </w:r>
    </w:p>
    <w:p w14:paraId="736EADA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78083CC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6F0F796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3FB039C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66A67D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1C203C9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1BC26BF7" w14:textId="77777777" w:rsidR="00E85E4A" w:rsidRDefault="00E85E4A" w:rsidP="00E85E4A">
      <w:pPr>
        <w:pStyle w:val="BodyTextIndent2"/>
        <w:numPr>
          <w:ilvl w:val="0"/>
          <w:numId w:val="8"/>
        </w:numPr>
        <w:tabs>
          <w:tab w:val="clear" w:pos="2204"/>
          <w:tab w:val="num" w:pos="360"/>
        </w:tabs>
        <w:spacing w:after="0" w:line="240" w:lineRule="auto"/>
        <w:ind w:left="284" w:hanging="284"/>
        <w:jc w:val="both"/>
        <w:rPr>
          <w:rFonts w:ascii="Calibri" w:hAnsi="Calibri" w:cs="Calibri"/>
          <w:sz w:val="22"/>
          <w:szCs w:val="22"/>
        </w:rPr>
      </w:pPr>
      <w:r>
        <w:rPr>
          <w:rFonts w:ascii="Calibri" w:hAnsi="Calibri" w:cs="Calibri"/>
          <w:sz w:val="22"/>
          <w:szCs w:val="22"/>
        </w:rPr>
        <w:t xml:space="preserve">11530. rindā </w:t>
      </w:r>
      <w:r>
        <w:rPr>
          <w:rFonts w:ascii="Calibri" w:hAnsi="Calibri" w:cs="Calibri"/>
          <w:b/>
          <w:sz w:val="22"/>
          <w:szCs w:val="22"/>
        </w:rPr>
        <w:t>„</w:t>
      </w:r>
      <w:r>
        <w:rPr>
          <w:rFonts w:ascii="Calibri" w:hAnsi="Calibri" w:cs="Calibri"/>
          <w:b/>
          <w:bCs/>
          <w:sz w:val="22"/>
          <w:szCs w:val="22"/>
        </w:rPr>
        <w:t>Cita līdzdalība sabiedrību kapitālā (daļas)”</w:t>
      </w:r>
      <w:r>
        <w:rPr>
          <w:rFonts w:ascii="Calibri" w:hAnsi="Calibri" w:cs="Calibri"/>
          <w:sz w:val="22"/>
          <w:szCs w:val="22"/>
        </w:rPr>
        <w:t xml:space="preserve"> ietver pārējo līdzdalību uzņēmumu kapitālā, kas nav akcijas un kas nav iekļauta pārskata rindās „Kotētās akcijas” un „Nekotētās akcijas”, piemēram, daļas, pajas:</w:t>
      </w:r>
    </w:p>
    <w:p w14:paraId="0CB4B22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0B2370B1"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69A6E6B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42ED6E4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asociēto sabiedrību kapitālā”,</w:t>
      </w:r>
    </w:p>
    <w:p w14:paraId="29AC0F9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ieguldījumi” sastāvdaļas;</w:t>
      </w:r>
    </w:p>
    <w:p w14:paraId="48DF6C2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E45BD0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1471C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6D21C65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līdzdalība kapitālos” sastāvdaļas.</w:t>
      </w:r>
    </w:p>
    <w:p w14:paraId="43C311E2"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11540. rindā </w:t>
      </w:r>
      <w:r>
        <w:rPr>
          <w:rFonts w:ascii="Calibri" w:hAnsi="Calibri" w:cs="Calibri"/>
          <w:b/>
          <w:bCs/>
          <w:sz w:val="22"/>
          <w:szCs w:val="22"/>
          <w:lang w:val="lv-LV"/>
        </w:rPr>
        <w:t>„Pašu akcijas un daļas un neiemaksātās daļas sabiedrību kapitālā”</w:t>
      </w:r>
      <w:r>
        <w:rPr>
          <w:rFonts w:ascii="Calibri" w:hAnsi="Calibri" w:cs="Calibri"/>
          <w:sz w:val="22"/>
          <w:szCs w:val="22"/>
          <w:lang w:val="lv-LV"/>
        </w:rPr>
        <w:t xml:space="preserve"> ietver ieguldījumus un neiemaksātas summas kapitālsabiedrību pamatkapitālā un sabiedrības kapitālā.</w:t>
      </w:r>
    </w:p>
    <w:p w14:paraId="2D91E4F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atbilst bilances aktīva:</w:t>
      </w:r>
    </w:p>
    <w:p w14:paraId="5108C33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„Ilgtermiņa ieguldījumi” </w:t>
      </w:r>
    </w:p>
    <w:p w14:paraId="58363B1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3385FC4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362D2E7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E5BE41D"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64B33C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2E0E544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76C2F7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„Neiemaksātās daļas sabiedrības kapitālā”.</w:t>
      </w:r>
    </w:p>
    <w:p w14:paraId="30ABA03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11550. rindā </w:t>
      </w:r>
      <w:r>
        <w:rPr>
          <w:rFonts w:ascii="Calibri" w:hAnsi="Calibri" w:cs="Calibri"/>
          <w:b/>
          <w:bCs/>
          <w:sz w:val="22"/>
          <w:szCs w:val="22"/>
          <w:lang w:val="lv-LV"/>
        </w:rPr>
        <w:t>„Ieguldījumu fondu ieguldījumu apliecības”</w:t>
      </w:r>
      <w:r>
        <w:rPr>
          <w:rFonts w:ascii="Calibri" w:hAnsi="Calibri" w:cs="Calibri"/>
          <w:sz w:val="22"/>
          <w:szCs w:val="22"/>
          <w:lang w:val="lv-LV"/>
        </w:rPr>
        <w:t xml:space="preserve"> norāda komersanta ieguldījumus, kuri ir ieguldīti fondu ieguldījumu apliecībās. </w:t>
      </w:r>
      <w:r>
        <w:rPr>
          <w:rStyle w:val="Strong"/>
          <w:rFonts w:ascii="Calibri" w:hAnsi="Calibri" w:cs="Calibri"/>
          <w:sz w:val="22"/>
          <w:szCs w:val="22"/>
          <w:lang w:val="lv-LV"/>
        </w:rPr>
        <w:t>Ieguldījumu apliecība</w:t>
      </w:r>
      <w:r>
        <w:rPr>
          <w:rFonts w:ascii="Calibri" w:hAnsi="Calibri" w:cs="Calibri"/>
          <w:sz w:val="22"/>
          <w:szCs w:val="22"/>
          <w:lang w:val="lv-LV"/>
        </w:rPr>
        <w:t xml:space="preserve"> ir pārvedams vērtspapīrs, kas apliecina fonda ieguldītāja līdzdalību ieguldījumu fondā un no šīs līdzdalības izrietošās tiesības.</w:t>
      </w:r>
    </w:p>
    <w:p w14:paraId="432F44F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77574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4000320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628BBB0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lastRenderedPageBreak/>
        <w:t>- posteņa „Pārējie vērtspapīri un ieguldījumi” sastāvdaļa;</w:t>
      </w:r>
    </w:p>
    <w:p w14:paraId="2593449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„Apgrozāmie līdzekļi” </w:t>
      </w:r>
    </w:p>
    <w:p w14:paraId="1DBAA25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1BF346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5EE6E36B"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11560. rindā </w:t>
      </w:r>
      <w:r>
        <w:rPr>
          <w:rFonts w:ascii="Calibri" w:hAnsi="Calibri" w:cs="Calibri"/>
          <w:b/>
          <w:bCs/>
          <w:sz w:val="22"/>
          <w:szCs w:val="22"/>
          <w:lang w:val="lv-LV"/>
        </w:rPr>
        <w:t>„Naudas tirgus fonda ieguldījumu apliecības”</w:t>
      </w:r>
      <w:r>
        <w:rPr>
          <w:rFonts w:ascii="Calibri" w:hAnsi="Calibri" w:cs="Calibri"/>
          <w:sz w:val="22"/>
          <w:szCs w:val="22"/>
          <w:lang w:val="lv-LV"/>
        </w:rPr>
        <w:t xml:space="preserve"> norāda komersanta ieguldījumus, kuri ieguldīti naudas tirgus fondu ieguldījumu apliecībās.</w:t>
      </w:r>
      <w:r>
        <w:rPr>
          <w:rStyle w:val="textmedium1"/>
          <w:rFonts w:ascii="Calibri" w:hAnsi="Calibri" w:cs="Calibri"/>
          <w:sz w:val="22"/>
          <w:szCs w:val="22"/>
          <w:lang w:val="lv-LV"/>
        </w:rPr>
        <w:t xml:space="preserve"> </w:t>
      </w:r>
      <w:r>
        <w:rPr>
          <w:rFonts w:ascii="Calibri" w:hAnsi="Calibri" w:cs="Calibri"/>
          <w:sz w:val="22"/>
          <w:szCs w:val="22"/>
          <w:lang w:val="lv-LV"/>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5AAF694B"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166751E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„Ilgtermiņa ieguldījumi” </w:t>
      </w:r>
    </w:p>
    <w:p w14:paraId="14BD640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40B356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„Pārējie vērtspapīri un ieguldījumi” sastāvdaļa; </w:t>
      </w:r>
    </w:p>
    <w:p w14:paraId="3B03C30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1A5E070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440CB26"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64BE3357"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11570. rindā </w:t>
      </w:r>
      <w:r>
        <w:rPr>
          <w:rFonts w:ascii="Calibri" w:hAnsi="Calibri" w:cs="Calibri"/>
          <w:b/>
          <w:sz w:val="22"/>
          <w:szCs w:val="22"/>
          <w:lang w:val="lv-LV"/>
        </w:rPr>
        <w:t>„Ilgtermiņa parāda vērtspapīri”</w:t>
      </w:r>
      <w:r>
        <w:rPr>
          <w:rFonts w:ascii="Calibri" w:hAnsi="Calibri" w:cs="Calibri"/>
          <w:sz w:val="22"/>
          <w:szCs w:val="22"/>
          <w:lang w:val="lv-LV"/>
        </w:rPr>
        <w:t xml:space="preserve"> (pēc sākotnēja termiņa) ietver parāda vērtspapīrus, kuru termiņš iegādes brīdī ir vairāk par vienu gadu, piemēram, obligācijas, valsts parādzīmes, hipotekārās ķīlu zīmes.</w:t>
      </w:r>
    </w:p>
    <w:p w14:paraId="6FC475D5"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 daļas:</w:t>
      </w:r>
    </w:p>
    <w:p w14:paraId="5EE955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87F29E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0177BE6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69CFC7A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32A92B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734BDF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0B91518"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11580. rindā </w:t>
      </w:r>
      <w:r>
        <w:rPr>
          <w:rFonts w:ascii="Calibri" w:hAnsi="Calibri" w:cs="Calibri"/>
          <w:b/>
          <w:sz w:val="22"/>
          <w:szCs w:val="22"/>
          <w:lang w:val="lv-LV"/>
        </w:rPr>
        <w:t>„Ilgtermiņa aizdevumi”</w:t>
      </w:r>
      <w:r>
        <w:rPr>
          <w:rFonts w:ascii="Calibri" w:hAnsi="Calibri" w:cs="Calibri"/>
          <w:sz w:val="22"/>
          <w:szCs w:val="22"/>
          <w:lang w:val="lv-LV"/>
        </w:rPr>
        <w:t xml:space="preserve"> (pēc sākotnēja termiņa) uzrāda saistības, kuru sākotnējais termiņš ir ilgāks par vienu gadu.</w:t>
      </w:r>
    </w:p>
    <w:p w14:paraId="176B210C"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03DF8F5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28AEF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1711B9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radniecīgajām sabiedrībām”,</w:t>
      </w:r>
    </w:p>
    <w:p w14:paraId="1E153D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asociētajām sabiedrībām”,</w:t>
      </w:r>
    </w:p>
    <w:p w14:paraId="2FF31F8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aizdevumi un citi ilgtermiņa debitori”,</w:t>
      </w:r>
    </w:p>
    <w:p w14:paraId="1D0E3D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akcionāriem vai dalībniekiem un vadībai” sastāvdaļas;</w:t>
      </w:r>
    </w:p>
    <w:p w14:paraId="46477F4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FEB4CF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40F48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0121A29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0267812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 sastāvdaļas.</w:t>
      </w:r>
    </w:p>
    <w:p w14:paraId="57D195A5"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11590. rindā </w:t>
      </w:r>
      <w:r>
        <w:rPr>
          <w:rFonts w:ascii="Calibri" w:hAnsi="Calibri" w:cs="Calibri"/>
          <w:b/>
          <w:sz w:val="22"/>
          <w:szCs w:val="22"/>
          <w:lang w:val="lv-LV"/>
        </w:rPr>
        <w:t>„Atliktā nodokļa aktīvi”</w:t>
      </w:r>
      <w:r>
        <w:rPr>
          <w:rFonts w:ascii="Calibri" w:hAnsi="Calibri" w:cs="Calibri"/>
          <w:sz w:val="22"/>
          <w:szCs w:val="22"/>
          <w:lang w:val="lv-LV"/>
        </w:rPr>
        <w:t xml:space="preserve"> uzrāda uzņēmumu ienākuma nodokļa summas, kuras atgūstamas nākamajos pārskata gados un attiecas uz atskaitāmām pagaidu starpībām.</w:t>
      </w:r>
    </w:p>
    <w:p w14:paraId="1E66CB4C"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12310. rindā </w:t>
      </w:r>
      <w:r>
        <w:rPr>
          <w:rFonts w:ascii="Calibri" w:hAnsi="Calibri" w:cs="Calibri"/>
          <w:b/>
          <w:sz w:val="22"/>
          <w:szCs w:val="22"/>
          <w:lang w:val="lv-LV"/>
        </w:rPr>
        <w:t>„Īstermiņa aizdevumi”</w:t>
      </w:r>
      <w:r>
        <w:rPr>
          <w:rFonts w:ascii="Calibri" w:hAnsi="Calibri" w:cs="Calibri"/>
          <w:sz w:val="22"/>
          <w:szCs w:val="22"/>
          <w:lang w:val="lv-LV"/>
        </w:rPr>
        <w:t xml:space="preserve"> (pēc sākotnēja termiņa) uzrāda saistības, kuru sākotnējais termiņš ir viens gads vai mazāk. </w:t>
      </w:r>
    </w:p>
    <w:p w14:paraId="6891E07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3F5E69B0"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40960F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16D9263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239BE0F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2E11A35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w:t>
      </w:r>
    </w:p>
    <w:p w14:paraId="75B525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417A6B86"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12320. rindā </w:t>
      </w:r>
      <w:r>
        <w:rPr>
          <w:rFonts w:ascii="Calibri" w:hAnsi="Calibri" w:cs="Calibri"/>
          <w:b/>
          <w:sz w:val="22"/>
          <w:szCs w:val="22"/>
          <w:lang w:val="lv-LV"/>
        </w:rPr>
        <w:t>„Tirdzniecības kredīti (pircēju un pasūtītāju parādi)”</w:t>
      </w:r>
      <w:r>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07BBE3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763DD35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CE2B99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60F73DE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„Pircēju un pasūtītāju parādi”, </w:t>
      </w:r>
    </w:p>
    <w:p w14:paraId="080EDBE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„Radniecīgo sabiedrību parādi”, </w:t>
      </w:r>
    </w:p>
    <w:p w14:paraId="3D15FE1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„Asociēto sabiedrību parādi”, </w:t>
      </w:r>
    </w:p>
    <w:p w14:paraId="0FC25AE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2E271F6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12330. rindas </w:t>
      </w:r>
      <w:r>
        <w:rPr>
          <w:rFonts w:ascii="Calibri" w:hAnsi="Calibri" w:cs="Calibri"/>
          <w:b/>
          <w:sz w:val="22"/>
          <w:szCs w:val="22"/>
          <w:lang w:val="lv-LV"/>
        </w:rPr>
        <w:t xml:space="preserve">„Pārmaksātie nodokļi” </w:t>
      </w:r>
      <w:r>
        <w:rPr>
          <w:rFonts w:ascii="Calibri" w:hAnsi="Calibri" w:cs="Calibri"/>
          <w:sz w:val="22"/>
          <w:szCs w:val="22"/>
          <w:lang w:val="lv-LV"/>
        </w:rPr>
        <w:t>informācija šajā rindā ir bilances aktīva:</w:t>
      </w:r>
    </w:p>
    <w:p w14:paraId="2DEB613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9FD75C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4B9C950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510F2FA6" w14:textId="77777777" w:rsidR="00E85E4A" w:rsidRDefault="00E85E4A" w:rsidP="00E85E4A">
      <w:pPr>
        <w:tabs>
          <w:tab w:val="num" w:pos="350"/>
        </w:tabs>
        <w:ind w:left="1106" w:hanging="113"/>
        <w:jc w:val="both"/>
        <w:rPr>
          <w:rFonts w:ascii="Calibri" w:hAnsi="Calibri" w:cs="Calibri"/>
          <w:sz w:val="22"/>
          <w:szCs w:val="22"/>
        </w:rPr>
      </w:pPr>
    </w:p>
    <w:p w14:paraId="4EA3CCEB" w14:textId="77777777" w:rsidR="00E85E4A" w:rsidRDefault="00E85E4A" w:rsidP="00E85E4A">
      <w:pPr>
        <w:pStyle w:val="ListParagraph"/>
        <w:numPr>
          <w:ilvl w:val="0"/>
          <w:numId w:val="8"/>
        </w:numPr>
        <w:tabs>
          <w:tab w:val="clear" w:pos="2204"/>
          <w:tab w:val="num" w:pos="360"/>
        </w:tabs>
        <w:ind w:left="360"/>
        <w:jc w:val="both"/>
        <w:rPr>
          <w:rFonts w:ascii="Calibri" w:hAnsi="Calibri" w:cs="Calibri"/>
          <w:sz w:val="22"/>
          <w:szCs w:val="22"/>
          <w:lang w:val="lv-LV"/>
        </w:rPr>
      </w:pPr>
      <w:r>
        <w:rPr>
          <w:rFonts w:ascii="Calibri" w:hAnsi="Calibri" w:cs="Calibri"/>
          <w:sz w:val="22"/>
          <w:szCs w:val="22"/>
          <w:lang w:val="lv-LV"/>
        </w:rPr>
        <w:t xml:space="preserve">12335. rinda </w:t>
      </w:r>
      <w:r>
        <w:rPr>
          <w:rFonts w:ascii="Calibri" w:hAnsi="Calibri" w:cs="Calibri"/>
          <w:b/>
          <w:sz w:val="22"/>
          <w:szCs w:val="22"/>
          <w:lang w:val="lv-LV"/>
        </w:rPr>
        <w:t>„Darba ņēmēju iespēju līgumi”</w:t>
      </w:r>
      <w:r>
        <w:rPr>
          <w:rFonts w:ascii="Calibri" w:hAnsi="Calibri" w:cs="Calibri"/>
          <w:sz w:val="22"/>
          <w:szCs w:val="22"/>
          <w:lang w:val="lv-LV"/>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CF9367F" w14:textId="77777777" w:rsidR="00E85E4A" w:rsidRDefault="00E85E4A" w:rsidP="00E85E4A">
      <w:pPr>
        <w:pStyle w:val="ListParagraph"/>
        <w:tabs>
          <w:tab w:val="num" w:pos="350"/>
        </w:tabs>
        <w:ind w:left="360"/>
        <w:jc w:val="both"/>
        <w:rPr>
          <w:rFonts w:ascii="Calibri" w:hAnsi="Calibri" w:cs="Calibri"/>
          <w:sz w:val="22"/>
          <w:szCs w:val="22"/>
          <w:lang w:val="lv-LV"/>
        </w:rPr>
      </w:pPr>
      <w:r>
        <w:rPr>
          <w:rFonts w:ascii="Calibri" w:hAnsi="Calibri" w:cs="Calibri"/>
          <w:sz w:val="22"/>
          <w:szCs w:val="22"/>
          <w:lang w:val="lv-LV"/>
        </w:rPr>
        <w:t xml:space="preserve">Uzrāda finanšu aktīvus, kas rodas, novērtējot darba ņēmēju iespēju līgumus to patiesajā vērtībā, t.i., katra darba ņēmēju iespēju līguma pozitīvo vērtību. </w:t>
      </w:r>
    </w:p>
    <w:p w14:paraId="7FACB240" w14:textId="77777777" w:rsidR="00E85E4A" w:rsidRDefault="00E85E4A" w:rsidP="00E85E4A">
      <w:pPr>
        <w:pStyle w:val="ListParagraph"/>
        <w:ind w:left="360"/>
        <w:jc w:val="both"/>
        <w:rPr>
          <w:rFonts w:ascii="Calibri" w:hAnsi="Calibri" w:cs="Calibri"/>
          <w:sz w:val="22"/>
          <w:szCs w:val="22"/>
          <w:lang w:val="lv-LV"/>
        </w:rPr>
      </w:pPr>
    </w:p>
    <w:p w14:paraId="1F3F34DE" w14:textId="77777777" w:rsidR="00E85E4A" w:rsidRDefault="00E85E4A" w:rsidP="00E85E4A">
      <w:pPr>
        <w:pStyle w:val="ListParagraph"/>
        <w:numPr>
          <w:ilvl w:val="0"/>
          <w:numId w:val="8"/>
        </w:numPr>
        <w:tabs>
          <w:tab w:val="clear" w:pos="2204"/>
          <w:tab w:val="num" w:pos="360"/>
        </w:tabs>
        <w:spacing w:after="120"/>
        <w:ind w:left="360"/>
        <w:jc w:val="both"/>
        <w:rPr>
          <w:rFonts w:ascii="Calibri" w:hAnsi="Calibri" w:cs="Calibri"/>
          <w:sz w:val="22"/>
          <w:szCs w:val="22"/>
          <w:lang w:val="lv-LV"/>
        </w:rPr>
      </w:pPr>
      <w:r>
        <w:rPr>
          <w:rFonts w:ascii="Calibri" w:hAnsi="Calibri" w:cs="Calibri"/>
          <w:sz w:val="22"/>
          <w:szCs w:val="22"/>
          <w:lang w:val="lv-LV"/>
        </w:rPr>
        <w:t xml:space="preserve">12336. rinda </w:t>
      </w:r>
      <w:r>
        <w:rPr>
          <w:rFonts w:ascii="Calibri" w:hAnsi="Calibri" w:cs="Calibri"/>
          <w:b/>
          <w:sz w:val="22"/>
          <w:szCs w:val="22"/>
          <w:lang w:val="lv-LV"/>
        </w:rPr>
        <w:t>„Apdrošināšanas polišu nenopelnīto prēmiju un piekritušo atlīdzību prasības”</w:t>
      </w:r>
      <w:r>
        <w:rPr>
          <w:rFonts w:ascii="Calibri" w:hAnsi="Calibri" w:cs="Calibri"/>
          <w:sz w:val="22"/>
          <w:szCs w:val="22"/>
          <w:lang w:val="lv-LV"/>
        </w:rPr>
        <w:t xml:space="preserve"> ir apdrošināšanas prēmiju izdevumi, kas veikti pārskata periodā, bet attiecas uz nākamajiem periodiem. Šajā pozīcijā uzrāda arī pārskata periodā un iepriekšējos pārskata periodos uzkrātos, bet vēl </w:t>
      </w:r>
      <w:r>
        <w:rPr>
          <w:rFonts w:ascii="Calibri" w:hAnsi="Calibri" w:cs="Calibri"/>
          <w:sz w:val="22"/>
          <w:szCs w:val="22"/>
          <w:lang w:val="lv-LV"/>
        </w:rPr>
        <w:lastRenderedPageBreak/>
        <w:t>nesaņemtos ienākumus par piekritušajām apdrošināšanas atlīdzību prasībām.</w:t>
      </w:r>
    </w:p>
    <w:p w14:paraId="56DBE69D"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12340. rinda </w:t>
      </w:r>
      <w:r>
        <w:rPr>
          <w:rFonts w:ascii="Calibri" w:hAnsi="Calibri" w:cs="Calibri"/>
          <w:b/>
          <w:sz w:val="22"/>
          <w:szCs w:val="22"/>
          <w:lang w:val="lv-LV"/>
        </w:rPr>
        <w:t>„Citi iepriekš neuzskaitīti debitori”</w:t>
      </w:r>
      <w:r>
        <w:rPr>
          <w:rFonts w:ascii="Calibri" w:hAnsi="Calibri" w:cs="Calibri"/>
          <w:sz w:val="22"/>
          <w:szCs w:val="22"/>
          <w:lang w:val="lv-LV"/>
        </w:rPr>
        <w:t xml:space="preserve"> sastāv no visiem citu debitoru parādiem, kas ir finanšu prasības.</w:t>
      </w:r>
    </w:p>
    <w:p w14:paraId="4D2AF73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459EAB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088D649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3359AC7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„Uzkrātie ieņēmumi”.</w:t>
      </w:r>
    </w:p>
    <w:p w14:paraId="123AD58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izmaksas”</w:t>
      </w:r>
    </w:p>
    <w:p w14:paraId="761E9CF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0F79AD45"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12410. rindā </w:t>
      </w:r>
      <w:r>
        <w:rPr>
          <w:rFonts w:ascii="Calibri" w:hAnsi="Calibri" w:cs="Calibri"/>
          <w:b/>
          <w:sz w:val="22"/>
          <w:szCs w:val="22"/>
          <w:lang w:val="lv-LV"/>
        </w:rPr>
        <w:t>„Īstermiņa parāda vērtspapīri”</w:t>
      </w:r>
      <w:r>
        <w:rPr>
          <w:rFonts w:ascii="Calibri" w:hAnsi="Calibri" w:cs="Calibri"/>
          <w:sz w:val="22"/>
          <w:szCs w:val="22"/>
          <w:lang w:val="lv-LV"/>
        </w:rPr>
        <w:t xml:space="preserve"> (pēc sākotnēja termiņa uzskaites vērtībā) ietver parāda vērtspapīrus, tai skaitā ar fiksētu ienākumu, kuru termiņš iegādes brīdī ir līdz vienam gadam (ieskaitot), piemēram, vekseļus, valsts parādzīmes.</w:t>
      </w:r>
    </w:p>
    <w:p w14:paraId="49F8E03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6BBFA2D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1D7A0D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38417C7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350DBD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12420. rindā </w:t>
      </w:r>
      <w:r>
        <w:rPr>
          <w:rFonts w:ascii="Calibri" w:hAnsi="Calibri" w:cs="Calibri"/>
          <w:b/>
          <w:sz w:val="22"/>
          <w:szCs w:val="22"/>
          <w:lang w:val="lv-LV"/>
        </w:rPr>
        <w:t>„Atvasinātie finanšu instrumenti”</w:t>
      </w:r>
      <w:r>
        <w:rPr>
          <w:rFonts w:ascii="Calibri" w:hAnsi="Calibri" w:cs="Calibri"/>
          <w:sz w:val="22"/>
          <w:szCs w:val="22"/>
          <w:lang w:val="lv-LV"/>
        </w:rPr>
        <w:t xml:space="preserve"> uzrāda finanšu aktīvus, kas rodas, atvasinātos finanšu instrumentus novērtējot to patiesajā vērtībā, t.i., katra atsevišķā atvasinātā finanšu instrumenta pozitīvā vērtība.</w:t>
      </w:r>
    </w:p>
    <w:p w14:paraId="100D9AB3"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74F47A39"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rinda ir bilances aktīva: </w:t>
      </w:r>
    </w:p>
    <w:p w14:paraId="6201DB8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C50EAB7"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474972A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„Atvasinātie finanšu instrumenti”,</w:t>
      </w:r>
    </w:p>
    <w:p w14:paraId="67C05A6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5958937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61EB7C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537CAB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70BDCB0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12510. rindā </w:t>
      </w:r>
      <w:r>
        <w:rPr>
          <w:rFonts w:ascii="Calibri" w:hAnsi="Calibri" w:cs="Calibri"/>
          <w:b/>
          <w:sz w:val="22"/>
          <w:szCs w:val="22"/>
          <w:lang w:val="lv-LV"/>
        </w:rPr>
        <w:t>„Nauda kasē”</w:t>
      </w:r>
      <w:r>
        <w:rPr>
          <w:rFonts w:ascii="Calibri" w:hAnsi="Calibri" w:cs="Calibri"/>
          <w:sz w:val="22"/>
          <w:szCs w:val="22"/>
          <w:lang w:val="lv-LV"/>
        </w:rPr>
        <w:t xml:space="preserve"> norāda sabiedrības skaidrās naudas līdzekļus kasē.</w:t>
      </w:r>
    </w:p>
    <w:p w14:paraId="3C23CF8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44DD0F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FB55B8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B84711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12520. rindā </w:t>
      </w:r>
      <w:r>
        <w:rPr>
          <w:rFonts w:ascii="Calibri" w:hAnsi="Calibri" w:cs="Calibri"/>
          <w:b/>
          <w:sz w:val="22"/>
          <w:szCs w:val="22"/>
          <w:lang w:val="lv-LV"/>
        </w:rPr>
        <w:t>„Norēķinu konti”</w:t>
      </w:r>
      <w:r>
        <w:rPr>
          <w:rFonts w:ascii="Calibri" w:hAnsi="Calibri" w:cs="Calibri"/>
          <w:sz w:val="22"/>
          <w:szCs w:val="22"/>
          <w:lang w:val="lv-LV"/>
        </w:rPr>
        <w:t xml:space="preserve"> norāda sabiedrības bankas kontos esošās bezskaidrās naudas līdzekļus, kā arī pieprasījuma noguldījumus. Informācija šajā rindā ir bilances aktīva: </w:t>
      </w:r>
    </w:p>
    <w:p w14:paraId="42F3DB6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035841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4018651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12530. rindā </w:t>
      </w:r>
      <w:r>
        <w:rPr>
          <w:rFonts w:ascii="Calibri" w:hAnsi="Calibri" w:cs="Calibri"/>
          <w:b/>
          <w:sz w:val="22"/>
          <w:szCs w:val="22"/>
          <w:lang w:val="lv-LV"/>
        </w:rPr>
        <w:t>„Termiņnoguldījumi”</w:t>
      </w:r>
      <w:r>
        <w:rPr>
          <w:rFonts w:ascii="Calibri" w:hAnsi="Calibri" w:cs="Calibri"/>
          <w:sz w:val="22"/>
          <w:szCs w:val="22"/>
          <w:lang w:val="lv-LV"/>
        </w:rPr>
        <w:t xml:space="preserve"> ietver termiņnoguldījumus, krājnoguldījumus, noguldījumus </w:t>
      </w:r>
      <w:r>
        <w:rPr>
          <w:rFonts w:ascii="Calibri" w:hAnsi="Calibri" w:cs="Calibri"/>
          <w:sz w:val="22"/>
          <w:szCs w:val="22"/>
          <w:lang w:val="lv-LV"/>
        </w:rPr>
        <w:t>atbilstoši uzkrājumu shēmai vai līgumam, īstermiņa pārdošanas ar atpirkšanu līgumus (</w:t>
      </w:r>
      <w:proofErr w:type="spellStart"/>
      <w:r>
        <w:rPr>
          <w:rFonts w:ascii="Calibri" w:hAnsi="Calibri" w:cs="Calibri"/>
          <w:sz w:val="22"/>
          <w:szCs w:val="22"/>
          <w:lang w:val="lv-LV"/>
        </w:rPr>
        <w:t>repo</w:t>
      </w:r>
      <w:proofErr w:type="spellEnd"/>
      <w:r>
        <w:rPr>
          <w:rFonts w:ascii="Calibri" w:hAnsi="Calibri" w:cs="Calibri"/>
          <w:sz w:val="22"/>
          <w:szCs w:val="22"/>
          <w:lang w:val="lv-LV"/>
        </w:rPr>
        <w:t>), kas ir kredītiestāžu un centrālās bankas saistības.</w:t>
      </w:r>
    </w:p>
    <w:p w14:paraId="02EB89F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11965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66647BB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37EA019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274B612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11DB25EF"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F4AF29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10000. rinda „BILANCE” ietver visu pārskatā minēto finanšu un </w:t>
      </w:r>
      <w:proofErr w:type="spellStart"/>
      <w:r>
        <w:rPr>
          <w:rFonts w:ascii="Calibri" w:hAnsi="Calibri" w:cs="Calibri"/>
          <w:sz w:val="22"/>
          <w:szCs w:val="22"/>
          <w:lang w:val="lv-LV"/>
        </w:rPr>
        <w:t>nefinanšu</w:t>
      </w:r>
      <w:proofErr w:type="spellEnd"/>
      <w:r>
        <w:rPr>
          <w:rFonts w:ascii="Calibri" w:hAnsi="Calibri" w:cs="Calibri"/>
          <w:sz w:val="22"/>
          <w:szCs w:val="22"/>
          <w:lang w:val="lv-LV"/>
        </w:rPr>
        <w:t xml:space="preserve"> aktīvu kopsummu.</w:t>
      </w:r>
    </w:p>
    <w:p w14:paraId="1949E14E" w14:textId="77777777" w:rsidR="00E85E4A" w:rsidRDefault="00E85E4A" w:rsidP="00E85E4A">
      <w:pPr>
        <w:tabs>
          <w:tab w:val="num" w:pos="350"/>
        </w:tabs>
        <w:ind w:left="360" w:hanging="360"/>
        <w:jc w:val="center"/>
        <w:rPr>
          <w:rFonts w:ascii="Calibri" w:hAnsi="Calibri" w:cs="Calibri"/>
          <w:b/>
          <w:bCs/>
          <w:sz w:val="22"/>
          <w:szCs w:val="22"/>
        </w:rPr>
      </w:pPr>
    </w:p>
    <w:p w14:paraId="42551B44" w14:textId="77777777" w:rsidR="00E85E4A" w:rsidRDefault="00E85E4A" w:rsidP="00E85E4A">
      <w:pPr>
        <w:tabs>
          <w:tab w:val="num" w:pos="350"/>
        </w:tabs>
        <w:spacing w:after="120"/>
        <w:ind w:left="357" w:hanging="357"/>
        <w:jc w:val="center"/>
        <w:rPr>
          <w:rFonts w:ascii="Calibri" w:hAnsi="Calibri" w:cs="Calibri"/>
          <w:b/>
          <w:bCs/>
          <w:szCs w:val="22"/>
        </w:rPr>
      </w:pPr>
      <w:r>
        <w:rPr>
          <w:rFonts w:ascii="Calibri" w:hAnsi="Calibri" w:cs="Calibri"/>
          <w:b/>
          <w:bCs/>
          <w:szCs w:val="22"/>
        </w:rPr>
        <w:t>3. Īpaši noteikumi atsevišķiem bilances pasīva posteņiem</w:t>
      </w:r>
    </w:p>
    <w:p w14:paraId="5603E6C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21600. rindas </w:t>
      </w:r>
      <w:r>
        <w:rPr>
          <w:rFonts w:ascii="Calibri" w:hAnsi="Calibri" w:cs="Calibri"/>
          <w:b/>
          <w:sz w:val="22"/>
          <w:szCs w:val="22"/>
          <w:lang w:val="lv-LV"/>
        </w:rPr>
        <w:t xml:space="preserve">„Iepriekšējo gadu un pārskata gada nesadalītā peļņa” </w:t>
      </w:r>
      <w:r>
        <w:rPr>
          <w:rFonts w:ascii="Calibri" w:hAnsi="Calibri" w:cs="Calibri"/>
          <w:sz w:val="22"/>
          <w:szCs w:val="22"/>
          <w:lang w:val="lv-LV"/>
        </w:rPr>
        <w:t>informācija atbilst bilances pasīva:</w:t>
      </w:r>
    </w:p>
    <w:p w14:paraId="6EBA444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„Pašu kapitāls” </w:t>
      </w:r>
    </w:p>
    <w:p w14:paraId="7ADA30A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„Nesadalītā peļņa” </w:t>
      </w:r>
    </w:p>
    <w:p w14:paraId="1F89875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„Iepriekšējo gadu nesadalītā peļņa”.</w:t>
      </w:r>
    </w:p>
    <w:p w14:paraId="7A1A7E4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„Pārskata gada nesadalītā peļņa”.</w:t>
      </w:r>
    </w:p>
    <w:p w14:paraId="656C64C7"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23100. rindā </w:t>
      </w:r>
      <w:r>
        <w:rPr>
          <w:rFonts w:ascii="Calibri" w:hAnsi="Calibri" w:cs="Calibri"/>
          <w:b/>
          <w:sz w:val="22"/>
          <w:szCs w:val="22"/>
          <w:lang w:val="lv-LV"/>
        </w:rPr>
        <w:t>„Ilgtermiņa aizņēmumi”</w:t>
      </w:r>
      <w:r>
        <w:rPr>
          <w:rFonts w:ascii="Calibri" w:hAnsi="Calibri" w:cs="Calibri"/>
          <w:sz w:val="22"/>
          <w:szCs w:val="22"/>
          <w:lang w:val="lv-LV"/>
        </w:rPr>
        <w:t xml:space="preserve"> (pēc sākotnēja termiņa) norāda komersanta aizņēmumus, kuru aizņemšanas sākotnējais termiņš ir noteikts ilgāk par vienu gadu.</w:t>
      </w:r>
    </w:p>
    <w:p w14:paraId="0A631C9C"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Par aizņēmumiem ir uzskatāmi arī kredītlīniju ietvaros saņemtie līdzekļi un finanšu līzings.</w:t>
      </w:r>
    </w:p>
    <w:p w14:paraId="174D38E2"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088BF00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83D950"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0C34C8A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pret obligācijām”,</w:t>
      </w:r>
    </w:p>
    <w:p w14:paraId="60035D0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„Akcijās pārvēršamie aizņēmumi”,</w:t>
      </w:r>
    </w:p>
    <w:p w14:paraId="7C13C6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no kredītiestādēm”,</w:t>
      </w:r>
    </w:p>
    <w:p w14:paraId="1DA4C6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„Citi aizņēmumi”,</w:t>
      </w:r>
    </w:p>
    <w:p w14:paraId="556DF5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666D12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17369E9"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23200. rindā </w:t>
      </w:r>
      <w:r>
        <w:rPr>
          <w:rFonts w:ascii="Calibri" w:hAnsi="Calibri" w:cs="Calibri"/>
          <w:b/>
          <w:sz w:val="22"/>
          <w:szCs w:val="22"/>
          <w:lang w:val="lv-LV"/>
        </w:rPr>
        <w:t>„Emitētie ilgtermiņa parāda vērtspapīri”</w:t>
      </w:r>
      <w:r>
        <w:rPr>
          <w:rFonts w:ascii="Calibri" w:hAnsi="Calibri" w:cs="Calibri"/>
          <w:sz w:val="22"/>
          <w:szCs w:val="22"/>
          <w:lang w:val="lv-LV"/>
        </w:rPr>
        <w:t xml:space="preserve"> (pēc sākotnēja termiņa uzskaites vērtībā) ietver emitētu parāda vērtspapīru saistības ar termiņu vairāk par vienu gadu, piemēram, obligācijas, hipotekārās ķīlu zīmes, parādzīmes.</w:t>
      </w:r>
    </w:p>
    <w:p w14:paraId="23B30343"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2590DF3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41D0B59F"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7ED470C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„Maksājamie vekseļi” .</w:t>
      </w:r>
    </w:p>
    <w:p w14:paraId="36F737D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23300. rindas </w:t>
      </w:r>
      <w:r>
        <w:rPr>
          <w:rFonts w:ascii="Calibri" w:hAnsi="Calibri" w:cs="Calibri"/>
          <w:b/>
          <w:sz w:val="22"/>
          <w:szCs w:val="22"/>
          <w:lang w:val="lv-LV"/>
        </w:rPr>
        <w:t>„Nodokļi un valsts sociālās apdrošināšanas obligātās iemaksas”</w:t>
      </w:r>
      <w:r>
        <w:rPr>
          <w:rFonts w:ascii="Calibri" w:hAnsi="Calibri" w:cs="Calibri"/>
          <w:sz w:val="22"/>
          <w:szCs w:val="22"/>
          <w:lang w:val="lv-LV"/>
        </w:rPr>
        <w:t xml:space="preserve"> informācija ir bilances pasīva:</w:t>
      </w:r>
    </w:p>
    <w:p w14:paraId="452714B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„Kreditori” </w:t>
      </w:r>
    </w:p>
    <w:p w14:paraId="0751AA5D"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lastRenderedPageBreak/>
        <w:t>- grupu „Ilgtermiņa kreditori” un „Īstermiņa kreditori”</w:t>
      </w:r>
    </w:p>
    <w:p w14:paraId="630160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„Nodokļi un valsts sociālās apdrošināšanas obligātās iemaksas”.</w:t>
      </w:r>
    </w:p>
    <w:p w14:paraId="46CD561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23400. rindas </w:t>
      </w:r>
      <w:r>
        <w:rPr>
          <w:rFonts w:ascii="Calibri" w:hAnsi="Calibri" w:cs="Calibri"/>
          <w:b/>
          <w:sz w:val="22"/>
          <w:szCs w:val="22"/>
          <w:lang w:val="lv-LV"/>
        </w:rPr>
        <w:t xml:space="preserve">„Atliktā nodokļa saistības” </w:t>
      </w:r>
      <w:r>
        <w:rPr>
          <w:rFonts w:ascii="Calibri" w:hAnsi="Calibri" w:cs="Calibri"/>
          <w:sz w:val="22"/>
          <w:szCs w:val="22"/>
          <w:lang w:val="lv-LV"/>
        </w:rPr>
        <w:t>norāda uzņēmumu ienākuma nodokļa summas, kuras maksājamas nākamajos pārskata gados un attiecas uz tām pagaidu starpībām, kuras apliekamas ar šo nodokli.</w:t>
      </w:r>
    </w:p>
    <w:p w14:paraId="4E6B9122"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24100. rindā </w:t>
      </w:r>
      <w:r>
        <w:rPr>
          <w:rFonts w:ascii="Calibri" w:hAnsi="Calibri" w:cs="Calibri"/>
          <w:b/>
          <w:sz w:val="22"/>
          <w:szCs w:val="22"/>
          <w:lang w:val="lv-LV"/>
        </w:rPr>
        <w:t>„Īstermiņa aizņēmumi”</w:t>
      </w:r>
      <w:r>
        <w:rPr>
          <w:rFonts w:ascii="Calibri" w:hAnsi="Calibri" w:cs="Calibri"/>
          <w:sz w:val="22"/>
          <w:szCs w:val="22"/>
          <w:lang w:val="lv-LV"/>
        </w:rPr>
        <w:t xml:space="preserve"> (pēc sākotnēja termiņa) norāda komersanta aizņēmumus, kuru aizņemšanas sākotnējais termiņš ir līdz vienam gadam (ieskaitot). </w:t>
      </w:r>
    </w:p>
    <w:p w14:paraId="0FAB9FB8"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461B0B9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6979C9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515ED0F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pret obligācijām”,</w:t>
      </w:r>
    </w:p>
    <w:p w14:paraId="3D83E04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„Akcijās pārvēršamie aizņēmumi”,</w:t>
      </w:r>
    </w:p>
    <w:p w14:paraId="074025B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no kredītiestādēm”,</w:t>
      </w:r>
    </w:p>
    <w:p w14:paraId="42F3A51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aizņēmumi”,</w:t>
      </w:r>
    </w:p>
    <w:p w14:paraId="181215E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radniecīgajām sabiedrībām”,</w:t>
      </w:r>
    </w:p>
    <w:p w14:paraId="08DE82D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asociētajām sabiedrībām” sastāvdaļas.</w:t>
      </w:r>
    </w:p>
    <w:p w14:paraId="5B4DBEE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24200. rindā </w:t>
      </w:r>
      <w:r>
        <w:rPr>
          <w:rFonts w:ascii="Calibri" w:hAnsi="Calibri" w:cs="Calibri"/>
          <w:b/>
          <w:sz w:val="22"/>
          <w:szCs w:val="22"/>
          <w:lang w:val="lv-LV"/>
        </w:rPr>
        <w:t>„Emitētie īstermiņa parāda vērtspapīri”</w:t>
      </w:r>
      <w:r>
        <w:rPr>
          <w:rFonts w:ascii="Calibri" w:hAnsi="Calibri" w:cs="Calibri"/>
          <w:sz w:val="22"/>
          <w:szCs w:val="22"/>
          <w:lang w:val="lv-LV"/>
        </w:rPr>
        <w:t xml:space="preserve"> (pēc sākotnēja termiņa uzskaites vērtībā) ietver emitētu parāda vērtspapīru saistības ar termiņu līdz vienam gadam (ieskaitot), piemēram, vekseļus, komerciālos vērtspapīrus.</w:t>
      </w:r>
    </w:p>
    <w:p w14:paraId="50A287FA"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ir bilances pasīva:</w:t>
      </w:r>
    </w:p>
    <w:p w14:paraId="064761A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7A29B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189F60D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„Maksājamie vekseļi”.</w:t>
      </w:r>
    </w:p>
    <w:p w14:paraId="35521E33"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24300. rindā </w:t>
      </w:r>
      <w:r>
        <w:rPr>
          <w:rFonts w:ascii="Calibri" w:hAnsi="Calibri" w:cs="Calibri"/>
          <w:b/>
          <w:sz w:val="22"/>
          <w:szCs w:val="22"/>
          <w:lang w:val="lv-LV"/>
        </w:rPr>
        <w:t>„Tirdzniecības kredīti (parādi piegādātājiem un darbuzņēmējiem) un avansi”</w:t>
      </w:r>
      <w:r>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2A5D501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58D53ED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07D9A850" w14:textId="77777777" w:rsidR="00E85E4A" w:rsidRDefault="00E85E4A" w:rsidP="00E85E4A">
      <w:pPr>
        <w:tabs>
          <w:tab w:val="num" w:pos="350"/>
        </w:tabs>
        <w:ind w:left="840" w:hanging="131"/>
        <w:jc w:val="both"/>
        <w:rPr>
          <w:rFonts w:ascii="Calibri" w:hAnsi="Calibri" w:cs="Calibri"/>
          <w:sz w:val="22"/>
          <w:szCs w:val="22"/>
        </w:rPr>
      </w:pPr>
      <w:r>
        <w:rPr>
          <w:rFonts w:ascii="Calibri" w:hAnsi="Calibri" w:cs="Calibri"/>
          <w:sz w:val="22"/>
          <w:szCs w:val="22"/>
        </w:rPr>
        <w:t>- grupu „Ilgtermiņa kreditori” un „Īstermiņa kreditori”</w:t>
      </w:r>
    </w:p>
    <w:p w14:paraId="441ABA7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„No pircējiem saņemtie avansi”,</w:t>
      </w:r>
    </w:p>
    <w:p w14:paraId="5071147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piegādātājiem un darbuzņēmējiem”,</w:t>
      </w:r>
    </w:p>
    <w:p w14:paraId="1D2A146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25CCB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CFA5CF4"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24500. rinda </w:t>
      </w:r>
      <w:r>
        <w:rPr>
          <w:rFonts w:ascii="Calibri" w:hAnsi="Calibri" w:cs="Calibri"/>
          <w:b/>
          <w:sz w:val="22"/>
          <w:szCs w:val="22"/>
          <w:lang w:val="lv-LV"/>
        </w:rPr>
        <w:t xml:space="preserve">„Citi iepriekš neuzskaitīti kreditori” </w:t>
      </w:r>
      <w:r>
        <w:rPr>
          <w:rFonts w:ascii="Calibri" w:hAnsi="Calibri" w:cs="Calibri"/>
          <w:sz w:val="22"/>
          <w:szCs w:val="22"/>
          <w:lang w:val="lv-LV"/>
        </w:rPr>
        <w:t>sastāv no visiem citu kreditoru parādiem.</w:t>
      </w:r>
    </w:p>
    <w:p w14:paraId="5BCCF067"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602F91A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BF4C07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kreditori”</w:t>
      </w:r>
    </w:p>
    <w:p w14:paraId="178954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0A6A4BF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AF21DE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2570E29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grupas „Īstermiņa kreditori”</w:t>
      </w:r>
    </w:p>
    <w:p w14:paraId="76B2320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2D36B2C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674592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„Uzkrātās saistības”,</w:t>
      </w:r>
    </w:p>
    <w:p w14:paraId="588DDCA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5555D8B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20000. rinda </w:t>
      </w:r>
      <w:r>
        <w:rPr>
          <w:rFonts w:ascii="Calibri" w:hAnsi="Calibri" w:cs="Calibri"/>
          <w:b/>
          <w:sz w:val="22"/>
          <w:szCs w:val="22"/>
          <w:lang w:val="lv-LV"/>
        </w:rPr>
        <w:t>„BILANCE”</w:t>
      </w:r>
      <w:r>
        <w:rPr>
          <w:rFonts w:ascii="Calibri" w:hAnsi="Calibri" w:cs="Calibri"/>
          <w:sz w:val="22"/>
          <w:szCs w:val="22"/>
          <w:lang w:val="lv-LV"/>
        </w:rPr>
        <w:t xml:space="preserve"> ietver visu pārskatā minēto finanšu pasīvu kopsummu.</w:t>
      </w:r>
    </w:p>
    <w:p w14:paraId="5966CDB9"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40000. rinda </w:t>
      </w:r>
      <w:bookmarkStart w:id="1" w:name="_Hlk12018886"/>
      <w:r>
        <w:rPr>
          <w:rFonts w:ascii="Calibri" w:hAnsi="Calibri" w:cs="Calibri"/>
          <w:b/>
          <w:sz w:val="22"/>
          <w:szCs w:val="22"/>
          <w:lang w:val="lv-LV"/>
        </w:rPr>
        <w:t>„</w:t>
      </w:r>
      <w:bookmarkEnd w:id="1"/>
      <w:r>
        <w:rPr>
          <w:rFonts w:ascii="Calibri" w:hAnsi="Calibri" w:cs="Calibri"/>
          <w:b/>
          <w:sz w:val="22"/>
          <w:szCs w:val="22"/>
          <w:lang w:val="lv-LV"/>
        </w:rPr>
        <w:t>Standarta līgumu ietvaros izsniegtie galvojumi (garantijas)”</w:t>
      </w:r>
      <w:r>
        <w:rPr>
          <w:rFonts w:ascii="Calibri" w:hAnsi="Calibri" w:cs="Calibri"/>
          <w:sz w:val="22"/>
          <w:szCs w:val="22"/>
          <w:lang w:val="lv-LV"/>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57EF20BA" w14:textId="77777777" w:rsidR="00E85E4A" w:rsidRPr="00785AA3" w:rsidRDefault="00E85E4A" w:rsidP="00E85E4A">
      <w:pPr>
        <w:pStyle w:val="ListParagraph"/>
        <w:numPr>
          <w:ilvl w:val="0"/>
          <w:numId w:val="8"/>
        </w:numPr>
        <w:tabs>
          <w:tab w:val="clear" w:pos="2204"/>
          <w:tab w:val="num" w:pos="360"/>
          <w:tab w:val="num" w:pos="502"/>
          <w:tab w:val="left" w:pos="851"/>
        </w:tabs>
        <w:ind w:left="284" w:hanging="284"/>
        <w:jc w:val="both"/>
        <w:rPr>
          <w:rFonts w:asciiTheme="majorHAnsi" w:hAnsiTheme="majorHAnsi" w:cstheme="majorHAnsi"/>
          <w:b/>
          <w:bCs/>
          <w:sz w:val="22"/>
          <w:szCs w:val="22"/>
          <w:lang w:val="lv-LV"/>
        </w:rPr>
      </w:pPr>
      <w:bookmarkStart w:id="2" w:name="_Hlk13053987"/>
      <w:r w:rsidRPr="00785AA3">
        <w:rPr>
          <w:rFonts w:ascii="Calibri" w:hAnsi="Calibri" w:cs="Calibri"/>
          <w:sz w:val="22"/>
          <w:szCs w:val="22"/>
          <w:lang w:val="lv-LV"/>
        </w:rPr>
        <w:t xml:space="preserve">4. sadaļa </w:t>
      </w:r>
      <w:r w:rsidRPr="00785AA3">
        <w:rPr>
          <w:rFonts w:ascii="Calibri" w:hAnsi="Calibri" w:cs="Calibri"/>
          <w:b/>
          <w:sz w:val="22"/>
          <w:szCs w:val="22"/>
          <w:lang w:val="lv-LV"/>
        </w:rPr>
        <w:t xml:space="preserve">„Operatīvā noma” </w:t>
      </w:r>
      <w:r w:rsidRPr="00785AA3">
        <w:rPr>
          <w:rFonts w:ascii="Calibri" w:hAnsi="Calibri" w:cs="Calibri"/>
          <w:color w:val="000000"/>
          <w:sz w:val="22"/>
          <w:szCs w:val="22"/>
          <w:lang w:val="lv-LV"/>
        </w:rPr>
        <w:t>tiek aizpildīta, ja respondentam ir operatīvās nomas objekts un ja šī objekta uzskaite tiek veikta saskaņā ar 16.Starptautisko finanšu pārskatu standartu “Noma”.</w:t>
      </w:r>
      <w:r w:rsidRPr="00785AA3">
        <w:rPr>
          <w:rFonts w:asciiTheme="majorHAnsi" w:hAnsiTheme="majorHAnsi" w:cstheme="majorHAnsi"/>
          <w:b/>
          <w:bCs/>
          <w:sz w:val="22"/>
          <w:szCs w:val="22"/>
          <w:lang w:val="lv-LV"/>
        </w:rPr>
        <w:t xml:space="preserve"> </w:t>
      </w:r>
    </w:p>
    <w:bookmarkEnd w:id="2"/>
    <w:p w14:paraId="0BC75657" w14:textId="77777777" w:rsidR="00E85E4A" w:rsidRDefault="00E85E4A" w:rsidP="00E85E4A">
      <w:pPr>
        <w:pStyle w:val="Footer"/>
        <w:tabs>
          <w:tab w:val="num" w:pos="350"/>
        </w:tabs>
        <w:spacing w:after="120"/>
        <w:jc w:val="center"/>
        <w:rPr>
          <w:rFonts w:ascii="Calibri" w:hAnsi="Calibri" w:cs="Calibri"/>
          <w:b/>
          <w:bCs/>
          <w:szCs w:val="22"/>
        </w:rPr>
      </w:pPr>
      <w:r>
        <w:rPr>
          <w:rFonts w:ascii="Calibri" w:hAnsi="Calibri" w:cs="Calibri"/>
          <w:b/>
          <w:bCs/>
          <w:szCs w:val="22"/>
        </w:rPr>
        <w:t>4. Termiņu kategorijas</w:t>
      </w:r>
    </w:p>
    <w:p w14:paraId="7948081E"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5B6C4FCC"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653E2A56"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Par „sākotnējo termiņu” uzskata termiņu darījuma noslēgšanas brīdī.</w:t>
      </w:r>
    </w:p>
    <w:p w14:paraId="1CEB0E4B" w14:textId="77777777" w:rsidR="00E85E4A" w:rsidRDefault="00E85E4A" w:rsidP="00E85E4A">
      <w:pPr>
        <w:pStyle w:val="ListParagraph"/>
        <w:tabs>
          <w:tab w:val="left" w:pos="851"/>
        </w:tabs>
        <w:spacing w:line="280" w:lineRule="atLeast"/>
        <w:ind w:left="1844"/>
        <w:jc w:val="both"/>
        <w:rPr>
          <w:rFonts w:ascii="Calibri" w:hAnsi="Calibri" w:cs="Calibri"/>
          <w:sz w:val="22"/>
          <w:szCs w:val="22"/>
          <w:lang w:val="lv-LV"/>
        </w:rPr>
      </w:pPr>
    </w:p>
    <w:p w14:paraId="0090200D" w14:textId="77777777" w:rsidR="00E85E4A" w:rsidRDefault="00E85E4A" w:rsidP="00E85E4A">
      <w:pPr>
        <w:rPr>
          <w:rFonts w:ascii="Calibri" w:eastAsia="Calibri" w:hAnsi="Calibri" w:cs="Calibri"/>
          <w:sz w:val="22"/>
          <w:szCs w:val="22"/>
        </w:rPr>
        <w:sectPr w:rsidR="00E85E4A">
          <w:type w:val="continuous"/>
          <w:pgSz w:w="11906" w:h="16838"/>
          <w:pgMar w:top="851" w:right="567" w:bottom="851" w:left="851" w:header="567" w:footer="567" w:gutter="0"/>
          <w:cols w:num="2" w:space="340"/>
        </w:sectPr>
      </w:pPr>
    </w:p>
    <w:p w14:paraId="342A4D2B" w14:textId="77777777" w:rsidR="00E85E4A" w:rsidRDefault="00E85E4A" w:rsidP="00E85E4A">
      <w:pPr>
        <w:pStyle w:val="List"/>
        <w:spacing w:line="280" w:lineRule="atLeast"/>
        <w:ind w:left="644" w:firstLine="0"/>
        <w:jc w:val="right"/>
        <w:rPr>
          <w:rFonts w:ascii="Calibri" w:hAnsi="Calibri" w:cs="Calibri"/>
          <w:sz w:val="22"/>
          <w:szCs w:val="22"/>
          <w:lang w:val="lv-LV"/>
        </w:rPr>
      </w:pPr>
    </w:p>
    <w:p w14:paraId="687BF3B4" w14:textId="45003D87" w:rsidR="0095434F" w:rsidRPr="00D45059" w:rsidRDefault="00E85E4A" w:rsidP="00E85E4A">
      <w:pPr>
        <w:jc w:val="right"/>
        <w:rPr>
          <w:rFonts w:ascii="Calibri" w:hAnsi="Calibri" w:cs="Calibri"/>
          <w:sz w:val="22"/>
          <w:szCs w:val="22"/>
        </w:rPr>
      </w:pPr>
      <w:bookmarkStart w:id="3" w:name="_Hlk13054138"/>
      <w:r w:rsidRPr="00785AA3">
        <w:rPr>
          <w:rFonts w:ascii="Calibri" w:hAnsi="Calibri" w:cs="Calibri"/>
          <w:sz w:val="22"/>
          <w:szCs w:val="22"/>
        </w:rPr>
        <w:t>Uzņēmumu strukturālās un finanšu statistikas daļa</w:t>
      </w:r>
      <w:bookmarkEnd w:id="3"/>
    </w:p>
    <w:sectPr w:rsidR="0095434F" w:rsidRPr="00D45059" w:rsidSect="009B21DB">
      <w:footerReference w:type="even" r:id="rId9"/>
      <w:footerReference w:type="default" r:id="rId10"/>
      <w:headerReference w:type="first" r:id="rId11"/>
      <w:type w:val="continuous"/>
      <w:pgSz w:w="11906" w:h="16838" w:code="9"/>
      <w:pgMar w:top="851" w:right="567"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5CD40" w14:textId="77777777" w:rsidR="00694BBA" w:rsidRDefault="00694BBA">
      <w:r>
        <w:separator/>
      </w:r>
    </w:p>
  </w:endnote>
  <w:endnote w:type="continuationSeparator" w:id="0">
    <w:p w14:paraId="1FD37488" w14:textId="77777777" w:rsidR="00694BBA" w:rsidRDefault="0069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Calibri">
    <w:panose1 w:val="020F0502020204030204"/>
    <w:charset w:val="BA"/>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519734"/>
      <w:docPartObj>
        <w:docPartGallery w:val="Page Numbers (Bottom of Page)"/>
        <w:docPartUnique/>
      </w:docPartObj>
    </w:sdtPr>
    <w:sdtEndPr>
      <w:rPr>
        <w:rFonts w:asciiTheme="minorHAnsi" w:hAnsiTheme="minorHAnsi"/>
        <w:noProof/>
        <w:sz w:val="20"/>
      </w:rPr>
    </w:sdtEndPr>
    <w:sdtContent>
      <w:p w14:paraId="48B29706" w14:textId="10318123" w:rsidR="00E85E4A" w:rsidRPr="00E85E4A" w:rsidRDefault="00E85E4A">
        <w:pPr>
          <w:pStyle w:val="Footer"/>
          <w:jc w:val="center"/>
          <w:rPr>
            <w:rFonts w:asciiTheme="minorHAnsi" w:hAnsiTheme="minorHAnsi"/>
            <w:sz w:val="20"/>
          </w:rPr>
        </w:pPr>
        <w:r w:rsidRPr="00E85E4A">
          <w:rPr>
            <w:rFonts w:asciiTheme="minorHAnsi" w:hAnsiTheme="minorHAnsi"/>
            <w:sz w:val="20"/>
          </w:rPr>
          <w:fldChar w:fldCharType="begin"/>
        </w:r>
        <w:r w:rsidRPr="00E85E4A">
          <w:rPr>
            <w:rFonts w:asciiTheme="minorHAnsi" w:hAnsiTheme="minorHAnsi"/>
            <w:sz w:val="20"/>
          </w:rPr>
          <w:instrText xml:space="preserve"> PAGE   \* MERGEFORMAT </w:instrText>
        </w:r>
        <w:r w:rsidRPr="00E85E4A">
          <w:rPr>
            <w:rFonts w:asciiTheme="minorHAnsi" w:hAnsiTheme="minorHAnsi"/>
            <w:sz w:val="20"/>
          </w:rPr>
          <w:fldChar w:fldCharType="separate"/>
        </w:r>
        <w:r w:rsidRPr="00E85E4A">
          <w:rPr>
            <w:rFonts w:asciiTheme="minorHAnsi" w:hAnsiTheme="minorHAnsi"/>
            <w:noProof/>
            <w:sz w:val="20"/>
          </w:rPr>
          <w:t>2</w:t>
        </w:r>
        <w:r w:rsidRPr="00E85E4A">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24034" w14:textId="77777777" w:rsidR="00B96FBF" w:rsidRPr="00782A8A" w:rsidRDefault="00B96FBF"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1-F</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653872"/>
      <w:docPartObj>
        <w:docPartGallery w:val="Page Numbers (Bottom of Page)"/>
        <w:docPartUnique/>
      </w:docPartObj>
    </w:sdtPr>
    <w:sdtEndPr>
      <w:rPr>
        <w:noProof/>
      </w:rPr>
    </w:sdtEndPr>
    <w:sdtContent>
      <w:p w14:paraId="36B97ECD" w14:textId="5A6E6753" w:rsidR="00E85E4A" w:rsidRDefault="00E85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EA566" w14:textId="7D40B700" w:rsidR="00B96FBF" w:rsidRPr="00782A8A" w:rsidRDefault="00B96FBF" w:rsidP="00131E9E">
    <w:pPr>
      <w:pStyle w:val="Footer"/>
      <w:tabs>
        <w:tab w:val="clear" w:pos="4153"/>
        <w:tab w:val="clear" w:pos="8306"/>
        <w:tab w:val="right" w:pos="10490"/>
      </w:tabs>
      <w:rPr>
        <w:rFonts w:ascii="Calibri" w:hAnsi="Calibri"/>
        <w:color w:val="E36C0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13833" w14:textId="77777777" w:rsidR="00694BBA" w:rsidRDefault="00694BBA">
      <w:r>
        <w:separator/>
      </w:r>
    </w:p>
  </w:footnote>
  <w:footnote w:type="continuationSeparator" w:id="0">
    <w:p w14:paraId="465A289D" w14:textId="77777777" w:rsidR="00694BBA" w:rsidRDefault="0069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CD4FD" w14:textId="77777777" w:rsidR="00B96FBF" w:rsidRDefault="00B96FBF" w:rsidP="00687B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C406885"/>
    <w:multiLevelType w:val="hybridMultilevel"/>
    <w:tmpl w:val="3B20BF46"/>
    <w:lvl w:ilvl="0" w:tplc="A358E7D8">
      <w:start w:val="1"/>
      <w:numFmt w:val="decimal"/>
      <w:lvlText w:val="%1."/>
      <w:lvlJc w:val="left"/>
      <w:pPr>
        <w:tabs>
          <w:tab w:val="num" w:pos="2204"/>
        </w:tabs>
        <w:ind w:left="2204" w:hanging="360"/>
      </w:pPr>
      <w:rPr>
        <w:rFonts w:cs="Times New Roman" w:hint="default"/>
        <w:i w:val="0"/>
      </w:rPr>
    </w:lvl>
    <w:lvl w:ilvl="1" w:tplc="C95C68DC">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F82E44"/>
    <w:multiLevelType w:val="hybridMultilevel"/>
    <w:tmpl w:val="A522B0F2"/>
    <w:lvl w:ilvl="0" w:tplc="0090D3CA">
      <w:start w:val="40"/>
      <w:numFmt w:val="decimal"/>
      <w:lvlText w:val="%1."/>
      <w:lvlJc w:val="left"/>
      <w:pPr>
        <w:ind w:left="765" w:hanging="360"/>
      </w:pPr>
    </w:lvl>
    <w:lvl w:ilvl="1" w:tplc="04260019">
      <w:start w:val="1"/>
      <w:numFmt w:val="lowerLetter"/>
      <w:lvlText w:val="%2."/>
      <w:lvlJc w:val="left"/>
      <w:pPr>
        <w:ind w:left="1485" w:hanging="360"/>
      </w:pPr>
    </w:lvl>
    <w:lvl w:ilvl="2" w:tplc="0426001B">
      <w:start w:val="1"/>
      <w:numFmt w:val="lowerRoman"/>
      <w:lvlText w:val="%3."/>
      <w:lvlJc w:val="right"/>
      <w:pPr>
        <w:ind w:left="2205" w:hanging="180"/>
      </w:pPr>
    </w:lvl>
    <w:lvl w:ilvl="3" w:tplc="0426000F">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start w:val="1"/>
      <w:numFmt w:val="lowerLetter"/>
      <w:lvlText w:val="%8."/>
      <w:lvlJc w:val="left"/>
      <w:pPr>
        <w:ind w:left="5805" w:hanging="360"/>
      </w:pPr>
    </w:lvl>
    <w:lvl w:ilvl="8" w:tplc="0426001B">
      <w:start w:val="1"/>
      <w:numFmt w:val="lowerRoman"/>
      <w:lvlText w:val="%9."/>
      <w:lvlJc w:val="right"/>
      <w:pPr>
        <w:ind w:left="6525" w:hanging="18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594"/>
    <w:rsid w:val="00004F7D"/>
    <w:rsid w:val="00020AC7"/>
    <w:rsid w:val="000216DF"/>
    <w:rsid w:val="0002360B"/>
    <w:rsid w:val="00034D7B"/>
    <w:rsid w:val="0003552A"/>
    <w:rsid w:val="0004196F"/>
    <w:rsid w:val="00050437"/>
    <w:rsid w:val="000506E8"/>
    <w:rsid w:val="00052254"/>
    <w:rsid w:val="00061624"/>
    <w:rsid w:val="000673FF"/>
    <w:rsid w:val="00071367"/>
    <w:rsid w:val="000767B6"/>
    <w:rsid w:val="0009204F"/>
    <w:rsid w:val="000A1363"/>
    <w:rsid w:val="000A3F68"/>
    <w:rsid w:val="000D5B8F"/>
    <w:rsid w:val="00100FF7"/>
    <w:rsid w:val="00111C15"/>
    <w:rsid w:val="00111F62"/>
    <w:rsid w:val="00117410"/>
    <w:rsid w:val="0012350F"/>
    <w:rsid w:val="00125885"/>
    <w:rsid w:val="00131E9E"/>
    <w:rsid w:val="001361AD"/>
    <w:rsid w:val="00151746"/>
    <w:rsid w:val="00152D00"/>
    <w:rsid w:val="00164968"/>
    <w:rsid w:val="0016735E"/>
    <w:rsid w:val="00171FBA"/>
    <w:rsid w:val="00180347"/>
    <w:rsid w:val="001A454F"/>
    <w:rsid w:val="001D487D"/>
    <w:rsid w:val="001E68A7"/>
    <w:rsid w:val="001E7007"/>
    <w:rsid w:val="001E7303"/>
    <w:rsid w:val="001F4D6C"/>
    <w:rsid w:val="001F79D1"/>
    <w:rsid w:val="00200965"/>
    <w:rsid w:val="00201124"/>
    <w:rsid w:val="00220F76"/>
    <w:rsid w:val="00224580"/>
    <w:rsid w:val="00236046"/>
    <w:rsid w:val="0024507E"/>
    <w:rsid w:val="00247F4C"/>
    <w:rsid w:val="00260757"/>
    <w:rsid w:val="00262CF0"/>
    <w:rsid w:val="002656D4"/>
    <w:rsid w:val="0027268F"/>
    <w:rsid w:val="00276461"/>
    <w:rsid w:val="00280881"/>
    <w:rsid w:val="00286F27"/>
    <w:rsid w:val="002961BC"/>
    <w:rsid w:val="002A7BDF"/>
    <w:rsid w:val="002C1260"/>
    <w:rsid w:val="002E291A"/>
    <w:rsid w:val="00302155"/>
    <w:rsid w:val="003113B3"/>
    <w:rsid w:val="003257F2"/>
    <w:rsid w:val="0032591E"/>
    <w:rsid w:val="003326A8"/>
    <w:rsid w:val="0034703B"/>
    <w:rsid w:val="00357ED7"/>
    <w:rsid w:val="00380C07"/>
    <w:rsid w:val="00396593"/>
    <w:rsid w:val="003C7B5C"/>
    <w:rsid w:val="003D0453"/>
    <w:rsid w:val="003D1897"/>
    <w:rsid w:val="003D638A"/>
    <w:rsid w:val="003E4B8D"/>
    <w:rsid w:val="003E5831"/>
    <w:rsid w:val="003E6171"/>
    <w:rsid w:val="003F5853"/>
    <w:rsid w:val="00410333"/>
    <w:rsid w:val="00424D89"/>
    <w:rsid w:val="00427C42"/>
    <w:rsid w:val="00430706"/>
    <w:rsid w:val="00431536"/>
    <w:rsid w:val="00433789"/>
    <w:rsid w:val="00460576"/>
    <w:rsid w:val="00465543"/>
    <w:rsid w:val="00467651"/>
    <w:rsid w:val="00474269"/>
    <w:rsid w:val="004746A9"/>
    <w:rsid w:val="00477E77"/>
    <w:rsid w:val="004865D2"/>
    <w:rsid w:val="00493B39"/>
    <w:rsid w:val="0049458B"/>
    <w:rsid w:val="004946AD"/>
    <w:rsid w:val="004A6B7A"/>
    <w:rsid w:val="004B38B4"/>
    <w:rsid w:val="004D2FB2"/>
    <w:rsid w:val="004D72D3"/>
    <w:rsid w:val="004E568B"/>
    <w:rsid w:val="004F1FE9"/>
    <w:rsid w:val="004F43A4"/>
    <w:rsid w:val="005027C8"/>
    <w:rsid w:val="00504A3C"/>
    <w:rsid w:val="00514E51"/>
    <w:rsid w:val="00532500"/>
    <w:rsid w:val="00535FA2"/>
    <w:rsid w:val="00545B3E"/>
    <w:rsid w:val="0054645F"/>
    <w:rsid w:val="005642F5"/>
    <w:rsid w:val="0056501C"/>
    <w:rsid w:val="00581C60"/>
    <w:rsid w:val="00586A3E"/>
    <w:rsid w:val="005A2612"/>
    <w:rsid w:val="005A5FE9"/>
    <w:rsid w:val="005B3E1C"/>
    <w:rsid w:val="005B7207"/>
    <w:rsid w:val="005C4F6E"/>
    <w:rsid w:val="005E3FB8"/>
    <w:rsid w:val="005F2B34"/>
    <w:rsid w:val="005F7B7E"/>
    <w:rsid w:val="00603E34"/>
    <w:rsid w:val="00605AA4"/>
    <w:rsid w:val="006141C4"/>
    <w:rsid w:val="006274D1"/>
    <w:rsid w:val="00644D52"/>
    <w:rsid w:val="006502B3"/>
    <w:rsid w:val="00654BD1"/>
    <w:rsid w:val="0066685D"/>
    <w:rsid w:val="00666B97"/>
    <w:rsid w:val="00666D61"/>
    <w:rsid w:val="006700F7"/>
    <w:rsid w:val="00675C13"/>
    <w:rsid w:val="00676336"/>
    <w:rsid w:val="006802CA"/>
    <w:rsid w:val="00682F51"/>
    <w:rsid w:val="00687821"/>
    <w:rsid w:val="00687B45"/>
    <w:rsid w:val="00687E6F"/>
    <w:rsid w:val="00694BBA"/>
    <w:rsid w:val="006969BA"/>
    <w:rsid w:val="006B266A"/>
    <w:rsid w:val="006B376F"/>
    <w:rsid w:val="006C4D38"/>
    <w:rsid w:val="006E3D7F"/>
    <w:rsid w:val="006F7FB9"/>
    <w:rsid w:val="007033D6"/>
    <w:rsid w:val="00710437"/>
    <w:rsid w:val="007345BF"/>
    <w:rsid w:val="00736AF5"/>
    <w:rsid w:val="00741841"/>
    <w:rsid w:val="00750086"/>
    <w:rsid w:val="00765611"/>
    <w:rsid w:val="007678E8"/>
    <w:rsid w:val="00772080"/>
    <w:rsid w:val="00772C5D"/>
    <w:rsid w:val="00777675"/>
    <w:rsid w:val="00781182"/>
    <w:rsid w:val="0078131D"/>
    <w:rsid w:val="00782A8A"/>
    <w:rsid w:val="00784566"/>
    <w:rsid w:val="00796BE2"/>
    <w:rsid w:val="007A0E5C"/>
    <w:rsid w:val="007A1964"/>
    <w:rsid w:val="007A2EA9"/>
    <w:rsid w:val="007B05F6"/>
    <w:rsid w:val="007B42D4"/>
    <w:rsid w:val="007D00D3"/>
    <w:rsid w:val="007D314D"/>
    <w:rsid w:val="007E37D6"/>
    <w:rsid w:val="007F77DE"/>
    <w:rsid w:val="00817D6C"/>
    <w:rsid w:val="008300C2"/>
    <w:rsid w:val="0084749F"/>
    <w:rsid w:val="00850602"/>
    <w:rsid w:val="008577FE"/>
    <w:rsid w:val="00857C0C"/>
    <w:rsid w:val="008620B8"/>
    <w:rsid w:val="008667B4"/>
    <w:rsid w:val="008704C8"/>
    <w:rsid w:val="0087084B"/>
    <w:rsid w:val="0087362E"/>
    <w:rsid w:val="00880454"/>
    <w:rsid w:val="00880812"/>
    <w:rsid w:val="00891C73"/>
    <w:rsid w:val="0089238D"/>
    <w:rsid w:val="00893466"/>
    <w:rsid w:val="00897E9D"/>
    <w:rsid w:val="008A6FC8"/>
    <w:rsid w:val="008B24A9"/>
    <w:rsid w:val="008B6B45"/>
    <w:rsid w:val="008C0DDB"/>
    <w:rsid w:val="008D6EC9"/>
    <w:rsid w:val="008E3E8C"/>
    <w:rsid w:val="008E5111"/>
    <w:rsid w:val="008F5742"/>
    <w:rsid w:val="00900C80"/>
    <w:rsid w:val="00901EF2"/>
    <w:rsid w:val="0091015D"/>
    <w:rsid w:val="00913C07"/>
    <w:rsid w:val="0092431F"/>
    <w:rsid w:val="00937315"/>
    <w:rsid w:val="00950DE3"/>
    <w:rsid w:val="0095434F"/>
    <w:rsid w:val="0096348C"/>
    <w:rsid w:val="00965EEE"/>
    <w:rsid w:val="00970EE7"/>
    <w:rsid w:val="00984526"/>
    <w:rsid w:val="0099293C"/>
    <w:rsid w:val="009B21DB"/>
    <w:rsid w:val="009C4922"/>
    <w:rsid w:val="009D33A0"/>
    <w:rsid w:val="009D40E3"/>
    <w:rsid w:val="009E1A46"/>
    <w:rsid w:val="009E2E30"/>
    <w:rsid w:val="009E7C40"/>
    <w:rsid w:val="00A01AC7"/>
    <w:rsid w:val="00A2166C"/>
    <w:rsid w:val="00A278CC"/>
    <w:rsid w:val="00A34819"/>
    <w:rsid w:val="00A3486C"/>
    <w:rsid w:val="00A41A34"/>
    <w:rsid w:val="00A41AB2"/>
    <w:rsid w:val="00A4222D"/>
    <w:rsid w:val="00A64A2A"/>
    <w:rsid w:val="00A727CE"/>
    <w:rsid w:val="00A77890"/>
    <w:rsid w:val="00AC367E"/>
    <w:rsid w:val="00AC5C51"/>
    <w:rsid w:val="00AE3233"/>
    <w:rsid w:val="00AE46BA"/>
    <w:rsid w:val="00AF1286"/>
    <w:rsid w:val="00B04C72"/>
    <w:rsid w:val="00B06676"/>
    <w:rsid w:val="00B10B57"/>
    <w:rsid w:val="00B1454A"/>
    <w:rsid w:val="00B17EFE"/>
    <w:rsid w:val="00B270DE"/>
    <w:rsid w:val="00B32E67"/>
    <w:rsid w:val="00B37F9E"/>
    <w:rsid w:val="00B41147"/>
    <w:rsid w:val="00B43586"/>
    <w:rsid w:val="00B478E8"/>
    <w:rsid w:val="00B56FA1"/>
    <w:rsid w:val="00B74F86"/>
    <w:rsid w:val="00B86FD1"/>
    <w:rsid w:val="00B96FBF"/>
    <w:rsid w:val="00BB128A"/>
    <w:rsid w:val="00BC3C38"/>
    <w:rsid w:val="00BC4BF9"/>
    <w:rsid w:val="00BF1506"/>
    <w:rsid w:val="00C06BDD"/>
    <w:rsid w:val="00C175C6"/>
    <w:rsid w:val="00C20381"/>
    <w:rsid w:val="00C30511"/>
    <w:rsid w:val="00C347E3"/>
    <w:rsid w:val="00C72E83"/>
    <w:rsid w:val="00C95C09"/>
    <w:rsid w:val="00C95F47"/>
    <w:rsid w:val="00CA09A9"/>
    <w:rsid w:val="00CA23CE"/>
    <w:rsid w:val="00CA3E2C"/>
    <w:rsid w:val="00CB06B4"/>
    <w:rsid w:val="00CB0F74"/>
    <w:rsid w:val="00CB333D"/>
    <w:rsid w:val="00CC407A"/>
    <w:rsid w:val="00CD10F2"/>
    <w:rsid w:val="00CD17FF"/>
    <w:rsid w:val="00D044D9"/>
    <w:rsid w:val="00D056D0"/>
    <w:rsid w:val="00D077B7"/>
    <w:rsid w:val="00D13F75"/>
    <w:rsid w:val="00D166DA"/>
    <w:rsid w:val="00D20AD0"/>
    <w:rsid w:val="00D24A4B"/>
    <w:rsid w:val="00D405C7"/>
    <w:rsid w:val="00D40A23"/>
    <w:rsid w:val="00D518A6"/>
    <w:rsid w:val="00D56EDF"/>
    <w:rsid w:val="00D6775A"/>
    <w:rsid w:val="00D77201"/>
    <w:rsid w:val="00D84240"/>
    <w:rsid w:val="00D87E23"/>
    <w:rsid w:val="00D95791"/>
    <w:rsid w:val="00D95C77"/>
    <w:rsid w:val="00DA373A"/>
    <w:rsid w:val="00DB24A9"/>
    <w:rsid w:val="00DB5671"/>
    <w:rsid w:val="00DC53F0"/>
    <w:rsid w:val="00DD00D2"/>
    <w:rsid w:val="00DF556E"/>
    <w:rsid w:val="00E02705"/>
    <w:rsid w:val="00E05C00"/>
    <w:rsid w:val="00E07B69"/>
    <w:rsid w:val="00E11871"/>
    <w:rsid w:val="00E14246"/>
    <w:rsid w:val="00E17999"/>
    <w:rsid w:val="00E23E40"/>
    <w:rsid w:val="00E316D3"/>
    <w:rsid w:val="00E44756"/>
    <w:rsid w:val="00E46B6E"/>
    <w:rsid w:val="00E51911"/>
    <w:rsid w:val="00E67D05"/>
    <w:rsid w:val="00E72836"/>
    <w:rsid w:val="00E75246"/>
    <w:rsid w:val="00E84068"/>
    <w:rsid w:val="00E85E4A"/>
    <w:rsid w:val="00E863E3"/>
    <w:rsid w:val="00E91C51"/>
    <w:rsid w:val="00ED0300"/>
    <w:rsid w:val="00ED365C"/>
    <w:rsid w:val="00ED4FA5"/>
    <w:rsid w:val="00ED54C8"/>
    <w:rsid w:val="00EE60AB"/>
    <w:rsid w:val="00EF5959"/>
    <w:rsid w:val="00EF781E"/>
    <w:rsid w:val="00F01A81"/>
    <w:rsid w:val="00F05731"/>
    <w:rsid w:val="00F114C7"/>
    <w:rsid w:val="00F1168D"/>
    <w:rsid w:val="00F173F8"/>
    <w:rsid w:val="00F502A8"/>
    <w:rsid w:val="00F52853"/>
    <w:rsid w:val="00F80E5B"/>
    <w:rsid w:val="00F96766"/>
    <w:rsid w:val="00F97A83"/>
    <w:rsid w:val="00FA2D3D"/>
    <w:rsid w:val="00FB08D6"/>
    <w:rsid w:val="00FC11BB"/>
    <w:rsid w:val="00FC3BE1"/>
    <w:rsid w:val="00FE1FB2"/>
    <w:rsid w:val="00FE265C"/>
    <w:rsid w:val="00FE29C1"/>
    <w:rsid w:val="00FE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C21220"/>
  <w15:docId w15:val="{AA35C6B3-AE0D-4A7A-9E88-55131D70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644D52"/>
    <w:rPr>
      <w:sz w:val="16"/>
      <w:szCs w:val="16"/>
    </w:rPr>
  </w:style>
  <w:style w:type="paragraph" w:styleId="CommentText">
    <w:name w:val="annotation text"/>
    <w:basedOn w:val="Normal"/>
    <w:link w:val="CommentTextChar"/>
    <w:rsid w:val="00644D52"/>
    <w:rPr>
      <w:sz w:val="20"/>
    </w:rPr>
  </w:style>
  <w:style w:type="character" w:customStyle="1" w:styleId="CommentTextChar">
    <w:name w:val="Comment Text Char"/>
    <w:link w:val="CommentText"/>
    <w:rsid w:val="00644D52"/>
    <w:rPr>
      <w:lang w:eastAsia="en-US"/>
    </w:rPr>
  </w:style>
  <w:style w:type="paragraph" w:styleId="CommentSubject">
    <w:name w:val="annotation subject"/>
    <w:basedOn w:val="CommentText"/>
    <w:next w:val="CommentText"/>
    <w:link w:val="CommentSubjectChar"/>
    <w:rsid w:val="00644D52"/>
    <w:rPr>
      <w:b/>
      <w:bCs/>
    </w:rPr>
  </w:style>
  <w:style w:type="character" w:customStyle="1" w:styleId="CommentSubjectChar">
    <w:name w:val="Comment Subject Char"/>
    <w:link w:val="CommentSubject"/>
    <w:rsid w:val="00644D52"/>
    <w:rPr>
      <w:b/>
      <w:bCs/>
      <w:lang w:eastAsia="en-US"/>
    </w:rPr>
  </w:style>
  <w:style w:type="paragraph" w:styleId="BodyTextIndent2">
    <w:name w:val="Body Text Indent 2"/>
    <w:basedOn w:val="Normal"/>
    <w:link w:val="BodyTextIndent2Char"/>
    <w:rsid w:val="00C95F47"/>
    <w:pPr>
      <w:spacing w:after="120" w:line="480" w:lineRule="auto"/>
      <w:ind w:left="283"/>
    </w:pPr>
  </w:style>
  <w:style w:type="character" w:customStyle="1" w:styleId="BodyTextIndent2Char">
    <w:name w:val="Body Text Indent 2 Char"/>
    <w:link w:val="BodyTextIndent2"/>
    <w:rsid w:val="00C95F47"/>
    <w:rPr>
      <w:sz w:val="24"/>
      <w:lang w:eastAsia="en-US"/>
    </w:rPr>
  </w:style>
  <w:style w:type="character" w:styleId="Strong">
    <w:name w:val="Strong"/>
    <w:qFormat/>
    <w:rsid w:val="00C95F47"/>
    <w:rPr>
      <w:rFonts w:cs="Times New Roman"/>
      <w:b/>
      <w:bCs/>
    </w:rPr>
  </w:style>
  <w:style w:type="character" w:customStyle="1" w:styleId="textmedium1">
    <w:name w:val="textmedium1"/>
    <w:rsid w:val="00C95F47"/>
    <w:rPr>
      <w:rFonts w:ascii="Verdana" w:hAnsi="Verdana" w:cs="Times New Roman"/>
      <w:sz w:val="17"/>
      <w:szCs w:val="17"/>
    </w:rPr>
  </w:style>
  <w:style w:type="paragraph" w:styleId="List">
    <w:name w:val="List"/>
    <w:basedOn w:val="Normal"/>
    <w:rsid w:val="00C95F47"/>
    <w:pPr>
      <w:ind w:left="283" w:hanging="283"/>
    </w:pPr>
    <w:rPr>
      <w:rFonts w:eastAsia="Calibri"/>
      <w:szCs w:val="24"/>
      <w:lang w:val="en-GB"/>
    </w:rPr>
  </w:style>
  <w:style w:type="paragraph" w:styleId="ListParagraph">
    <w:name w:val="List Paragraph"/>
    <w:basedOn w:val="Normal"/>
    <w:qFormat/>
    <w:rsid w:val="00C95F47"/>
    <w:pPr>
      <w:ind w:left="720"/>
      <w:contextualSpacing/>
    </w:pPr>
    <w:rPr>
      <w:rFonts w:eastAsia="Calibr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D1B8-3ADC-45D8-8976-DA8DDEC6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10212</Words>
  <Characters>5821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noradijumi</vt:lpstr>
    </vt:vector>
  </TitlesOfParts>
  <Manager>EM</Manager>
  <Company>Centrālā statistikas pārvalde</Company>
  <LinksUpToDate>false</LinksUpToDate>
  <CharactersWithSpaces>16001</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  “Pārskats par finansiālo stāvokli” paraugs.</dc:subject>
  <dc:creator>Ieva Začeste</dc:creator>
  <dc:description>ieva.zaceste@csb.gov.lv_x000d_
67366897</dc:description>
  <cp:lastModifiedBy>Salvis Stagis</cp:lastModifiedBy>
  <cp:revision>2</cp:revision>
  <cp:lastPrinted>2016-12-27T09:46:00Z</cp:lastPrinted>
  <dcterms:created xsi:type="dcterms:W3CDTF">2020-12-02T10:59:00Z</dcterms:created>
  <dcterms:modified xsi:type="dcterms:W3CDTF">2020-12-02T10:59:00Z</dcterms:modified>
</cp:coreProperties>
</file>