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52A526D3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 xml:space="preserve">Lāčplēša iela 1, Rīga, LV-1301,  </w:t>
            </w:r>
            <w:hyperlink r:id="rId8" w:history="1">
              <w:r w:rsidRPr="00D4067E">
                <w:rPr>
                  <w:rFonts w:ascii="Calibri" w:hAnsi="Calibri"/>
                  <w:sz w:val="22"/>
                  <w:szCs w:val="22"/>
                </w:rPr>
                <w:t>www.csb.gov.lv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011E80D" w14:textId="48814E7C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6A2ECF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6A2ECF">
                <w:rPr>
                  <w:rFonts w:ascii="Calibri" w:hAnsi="Calibri"/>
                  <w:sz w:val="22"/>
                  <w:szCs w:val="22"/>
                </w:rPr>
                <w:t>://</w:t>
              </w:r>
              <w:r w:rsidRPr="006A2ECF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39FFFE3C" w14:textId="77777777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533EE" w:rsidRDefault="00AB175C" w:rsidP="001533EE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1533EE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hyperlink r:id="rId10" w:history="1">
              <w:r w:rsidR="004B4E12" w:rsidRPr="001533EE">
                <w:rPr>
                  <w:rFonts w:asciiTheme="minorHAnsi" w:hAnsi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77777777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F33BEF">
              <w:rPr>
                <w:rFonts w:ascii="Calibri" w:hAnsi="Calibri"/>
                <w:sz w:val="20"/>
              </w:rPr>
              <w:t>VSPARK</w:t>
            </w:r>
            <w:proofErr w:type="spellEnd"/>
            <w:r w:rsidRPr="00F33BE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10405033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77777777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572F4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77777777" w:rsidR="00D212BF" w:rsidRPr="00F33BEF" w:rsidRDefault="0075111B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9A382B">
              <w:rPr>
                <w:rFonts w:ascii="Calibri" w:hAnsi="Calibri"/>
                <w:b/>
                <w:iCs/>
                <w:szCs w:val="24"/>
              </w:rPr>
              <w:t>20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66E4EB8D" w14:textId="77777777" w:rsidTr="00A572F4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540A23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C15BF45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957C31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77777777" w:rsidR="00171131" w:rsidRPr="00167E69" w:rsidRDefault="00167E6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167E69">
              <w:rPr>
                <w:rFonts w:ascii="Calibri" w:hAnsi="Calibri"/>
                <w:sz w:val="22"/>
                <w:szCs w:val="22"/>
              </w:rPr>
              <w:t>Ar aprēķinātajiem cenu indeksiem var iepazīties CSP mājaslapas datubāzes sadaļā "Ekonomika un finanses",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7178E417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5D33C98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1"/>
          <w:footerReference w:type="default" r:id="rId12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77777777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777777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77777777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7777777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7777777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98FE5D6" w14:textId="77777777" w:rsidR="005927EA" w:rsidRPr="00E34433" w:rsidRDefault="00F100EB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927EA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  <w:r w:rsidRPr="00445648">
        <w:rPr>
          <w:rFonts w:ascii="Calibri" w:hAnsi="Calibri" w:cs="Calibri"/>
          <w:sz w:val="18"/>
          <w:szCs w:val="18"/>
        </w:rPr>
        <w:t>Veidlapas beigās piezīmēm atvēlētajās brīvajās rindās ieraksta cenu vai izmaksu izmaiņu galvenos iemeslus, norādot resursu rindas kodu.</w:t>
      </w:r>
    </w:p>
    <w:p w14:paraId="10710BE0" w14:textId="77777777" w:rsidR="00B17B73" w:rsidRPr="00AD69DB" w:rsidRDefault="00B17B73" w:rsidP="005927EA">
      <w:pPr>
        <w:rPr>
          <w:rFonts w:ascii="Calibri" w:hAnsi="Calibri" w:cs="Calibri"/>
          <w:b/>
          <w:noProof/>
          <w:sz w:val="22"/>
          <w:szCs w:val="22"/>
        </w:rPr>
        <w:sectPr w:rsidR="00B17B73" w:rsidRPr="00AD69DB" w:rsidSect="009F64B2">
          <w:type w:val="continuous"/>
          <w:pgSz w:w="11906" w:h="16838" w:code="9"/>
          <w:pgMar w:top="567" w:right="567" w:bottom="851" w:left="851" w:header="567" w:footer="567" w:gutter="0"/>
          <w:cols w:num="2" w:space="284"/>
          <w:titlePg/>
          <w:docGrid w:linePitch="360"/>
        </w:sectPr>
      </w:pPr>
    </w:p>
    <w:p w14:paraId="5BE14EA4" w14:textId="77777777" w:rsidR="00947538" w:rsidRPr="00AD69DB" w:rsidRDefault="00193BFC" w:rsidP="00092C7B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CENAS (</w:t>
      </w:r>
      <w:r w:rsidR="006C4AFC" w:rsidRPr="0087061A">
        <w:rPr>
          <w:rFonts w:ascii="Calibri" w:hAnsi="Calibri" w:cs="Calibri"/>
          <w:b/>
          <w:noProof/>
          <w:sz w:val="22"/>
          <w:szCs w:val="22"/>
        </w:rPr>
        <w:t>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1.2. BŪVMATERIĀLU CENAS 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947538" w:rsidRPr="004721E2" w14:paraId="5892D45D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666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666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666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666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6662" w:type="dxa"/>
            <w:vAlign w:val="center"/>
          </w:tcPr>
          <w:p w14:paraId="2CDB9075" w14:textId="77777777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caurules bezspiediena (gravitācijas) sistēmām ar diametru 300 mm, 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6FB8D313" w14:textId="77777777" w:rsidR="00133D6A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</w:p>
    <w:p w14:paraId="2086849A" w14:textId="77777777" w:rsidR="00FC60FB" w:rsidRPr="00AD69DB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sz w:val="20"/>
        </w:rPr>
        <w:br w:type="page"/>
      </w:r>
      <w:r w:rsidR="00947538"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FC60FB" w:rsidRPr="004721E2" w14:paraId="5455C721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660F11A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A060DF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6662" w:type="dxa"/>
            <w:vAlign w:val="center"/>
          </w:tcPr>
          <w:p w14:paraId="1553C608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9E0E4F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3BBC8B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7A741F7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252E5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6662" w:type="dxa"/>
            <w:vAlign w:val="center"/>
          </w:tcPr>
          <w:p w14:paraId="0C6F0D4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1B5C4E0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F2B47F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166B52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666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666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666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6662" w:type="dxa"/>
            <w:vAlign w:val="center"/>
          </w:tcPr>
          <w:p w14:paraId="20EF4B86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195304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78DFE3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6662" w:type="dxa"/>
            <w:vAlign w:val="center"/>
          </w:tcPr>
          <w:p w14:paraId="7D5E94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3077546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CEE9EE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7DE7E3D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6662" w:type="dxa"/>
            <w:vAlign w:val="center"/>
          </w:tcPr>
          <w:p w14:paraId="10A8653C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ACAB75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12BCB12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6662" w:type="dxa"/>
            <w:vAlign w:val="center"/>
          </w:tcPr>
          <w:p w14:paraId="3615093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5FBAA3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38EBD57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6662" w:type="dxa"/>
            <w:vAlign w:val="center"/>
          </w:tcPr>
          <w:p w14:paraId="7173079E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1D9BB1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B129AA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6662" w:type="dxa"/>
            <w:vAlign w:val="center"/>
          </w:tcPr>
          <w:p w14:paraId="45DD9E0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1843" w:type="dxa"/>
            <w:vAlign w:val="center"/>
          </w:tcPr>
          <w:p w14:paraId="3C14F54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5C6AEC" w:rsidRPr="00AD69DB" w:rsidRDefault="005C6AEC" w:rsidP="00FC60FB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5C6AEC" w:rsidRPr="004721E2" w14:paraId="6A07D05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6662" w:type="dxa"/>
            <w:vAlign w:val="center"/>
          </w:tcPr>
          <w:p w14:paraId="1F9B831D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68C939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BC1EC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6662" w:type="dxa"/>
            <w:vAlign w:val="center"/>
          </w:tcPr>
          <w:p w14:paraId="01B59966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B18AD46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2D26BBF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6662" w:type="dxa"/>
            <w:vAlign w:val="center"/>
          </w:tcPr>
          <w:p w14:paraId="239E039A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665DE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6A3BC6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6662" w:type="dxa"/>
            <w:vAlign w:val="center"/>
          </w:tcPr>
          <w:p w14:paraId="6D2DB7C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50547E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72159F5B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6662" w:type="dxa"/>
            <w:vAlign w:val="center"/>
          </w:tcPr>
          <w:p w14:paraId="4FA88B3C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006707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3EE6E6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6662" w:type="dxa"/>
            <w:vAlign w:val="center"/>
          </w:tcPr>
          <w:p w14:paraId="10396233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2F58FC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5C6AEC" w:rsidRPr="00AD69DB" w:rsidRDefault="005C6AEC" w:rsidP="00FC60FB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5C6AEC" w:rsidRPr="004721E2" w14:paraId="5065EC7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6662" w:type="dxa"/>
            <w:vAlign w:val="center"/>
          </w:tcPr>
          <w:p w14:paraId="26F7801C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5C6AEC" w:rsidRPr="00AD69DB" w:rsidRDefault="004B0763" w:rsidP="0081713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4864719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C6AEC" w:rsidRPr="004721E2" w14:paraId="7783308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6662" w:type="dxa"/>
            <w:vAlign w:val="center"/>
          </w:tcPr>
          <w:p w14:paraId="5668742D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003DCE06" w14:textId="5027A805" w:rsidR="005C6AEC" w:rsidRPr="00AD69DB" w:rsidRDefault="009D5BB4" w:rsidP="0081713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E1570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A29A20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6662" w:type="dxa"/>
            <w:vAlign w:val="center"/>
          </w:tcPr>
          <w:p w14:paraId="73226306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2C7E85B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5C6AEC" w:rsidRPr="00AD69DB" w:rsidRDefault="005C6AEC" w:rsidP="00947538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5C6AEC" w:rsidRPr="004721E2" w14:paraId="64A7350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6662" w:type="dxa"/>
            <w:vAlign w:val="center"/>
          </w:tcPr>
          <w:p w14:paraId="303F65E4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CAF1AE1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0051E6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6662" w:type="dxa"/>
            <w:vAlign w:val="center"/>
          </w:tcPr>
          <w:p w14:paraId="07927FCA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59C1602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3C5DCF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6662" w:type="dxa"/>
            <w:vAlign w:val="center"/>
          </w:tcPr>
          <w:p w14:paraId="307E64B0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95883D2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1780ADB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6662" w:type="dxa"/>
            <w:vAlign w:val="center"/>
          </w:tcPr>
          <w:p w14:paraId="1565F280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8B9FDC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C162FA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6662" w:type="dxa"/>
            <w:vAlign w:val="center"/>
          </w:tcPr>
          <w:p w14:paraId="792486DD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1C48B05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4BE64D0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6662" w:type="dxa"/>
            <w:vAlign w:val="center"/>
          </w:tcPr>
          <w:p w14:paraId="4F2AED37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E2C4E23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5C6AEC" w:rsidRPr="00AD69DB" w:rsidRDefault="005C6AEC" w:rsidP="00947538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5C6AEC" w:rsidRPr="004721E2" w14:paraId="28B741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6662" w:type="dxa"/>
            <w:vAlign w:val="center"/>
          </w:tcPr>
          <w:p w14:paraId="695A54A8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37BA009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20DF797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6662" w:type="dxa"/>
            <w:vAlign w:val="center"/>
          </w:tcPr>
          <w:p w14:paraId="63BACA35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484ACA0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FA2025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6662" w:type="dxa"/>
            <w:vAlign w:val="center"/>
          </w:tcPr>
          <w:p w14:paraId="23E0B81C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D8F5AFA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6917B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6662" w:type="dxa"/>
            <w:vAlign w:val="center"/>
          </w:tcPr>
          <w:p w14:paraId="47FCC101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9C71C31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3EF5EB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6662" w:type="dxa"/>
            <w:vAlign w:val="center"/>
          </w:tcPr>
          <w:p w14:paraId="5A539851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6002771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4177D94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6662" w:type="dxa"/>
            <w:vAlign w:val="center"/>
          </w:tcPr>
          <w:p w14:paraId="62DADEEA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71A77D1E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5C6AEC" w:rsidRPr="00AD69DB" w:rsidRDefault="005C6AEC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5C6AEC" w:rsidRPr="004721E2" w14:paraId="67D6D6B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6662" w:type="dxa"/>
            <w:vAlign w:val="center"/>
          </w:tcPr>
          <w:p w14:paraId="30A93E4B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Sendviča tipa paneļi ar poliuritāna 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E7DB6B3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14:paraId="32D2EF1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6662" w:type="dxa"/>
            <w:vAlign w:val="center"/>
          </w:tcPr>
          <w:p w14:paraId="3259F5C6" w14:textId="77777777" w:rsidR="005C6AEC" w:rsidRPr="00AD69DB" w:rsidRDefault="005C6AEC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Sendviča tipa paneļi ar poliuritāna 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7A07C73" w14:textId="77777777" w:rsidR="005C6AEC" w:rsidRPr="00AD69DB" w:rsidRDefault="005C6AEC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5C6AEC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5C6AEC" w:rsidRPr="00AD69DB" w:rsidDel="001870DE" w:rsidRDefault="005C6AE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Elektromateriāli</w:t>
            </w:r>
          </w:p>
        </w:tc>
      </w:tr>
      <w:tr w:rsidR="005C6AEC" w:rsidRPr="004721E2" w:rsidDel="001870DE" w14:paraId="30FACB5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6662" w:type="dxa"/>
            <w:vAlign w:val="center"/>
          </w:tcPr>
          <w:p w14:paraId="70824C22" w14:textId="77777777" w:rsidR="005C6AEC" w:rsidRPr="00AD69DB" w:rsidDel="001870DE" w:rsidRDefault="005C6AEC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5C6AEC" w:rsidRPr="00AD69DB" w:rsidDel="001870DE" w:rsidRDefault="005C6AEC" w:rsidP="00E15250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CC29C80" w14:textId="77777777" w:rsidR="005C6AEC" w:rsidRPr="00AD69DB" w:rsidDel="001870DE" w:rsidRDefault="005C6AEC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:rsidDel="001870DE" w14:paraId="4EA909D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5C6AEC" w:rsidRPr="00AD69DB" w:rsidRDefault="005C6AEC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6662" w:type="dxa"/>
            <w:vAlign w:val="center"/>
          </w:tcPr>
          <w:p w14:paraId="602A5C9D" w14:textId="77777777" w:rsidR="005C6AEC" w:rsidRPr="00AD69DB" w:rsidDel="001870DE" w:rsidRDefault="005C6AEC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5C6AEC" w:rsidRPr="00AD69DB" w:rsidDel="001870DE" w:rsidRDefault="005C6AEC" w:rsidP="00E15250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4CD2D102" w14:textId="77777777" w:rsidR="005C6AEC" w:rsidRPr="00AD69DB" w:rsidDel="001870DE" w:rsidRDefault="005C6AEC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EAC429" w14:textId="77777777" w:rsidR="00947538" w:rsidRPr="00AD69DB" w:rsidRDefault="00CC1DE2" w:rsidP="00D34D43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lastRenderedPageBreak/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5E62B74C" w14:textId="77777777" w:rsidTr="00A572F4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3E194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, par vienu mērvienību 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947538" w:rsidRPr="004721E2" w14:paraId="2685E48A" w14:textId="77777777" w:rsidTr="00A572F4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720954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41F87A86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21157CB7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505E334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48E2DB0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300FFD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6381" w:type="dxa"/>
            <w:vAlign w:val="center"/>
          </w:tcPr>
          <w:p w14:paraId="1B9836E2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248" w:type="dxa"/>
            <w:vAlign w:val="center"/>
          </w:tcPr>
          <w:p w14:paraId="397E2FB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38F9D22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6181A6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6381" w:type="dxa"/>
            <w:vAlign w:val="center"/>
          </w:tcPr>
          <w:p w14:paraId="7F3F6143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248" w:type="dxa"/>
            <w:vAlign w:val="center"/>
          </w:tcPr>
          <w:p w14:paraId="3D8336D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6DDB6E01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E2FDB2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6381" w:type="dxa"/>
            <w:vAlign w:val="center"/>
          </w:tcPr>
          <w:p w14:paraId="2314C8A3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248" w:type="dxa"/>
            <w:vAlign w:val="center"/>
          </w:tcPr>
          <w:p w14:paraId="6F61D05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168232C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1E992F9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6381" w:type="dxa"/>
            <w:vAlign w:val="center"/>
          </w:tcPr>
          <w:p w14:paraId="119E2DD8" w14:textId="77777777" w:rsidR="00947538" w:rsidRPr="00AD69DB" w:rsidDel="00B02D4C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248" w:type="dxa"/>
            <w:vAlign w:val="center"/>
          </w:tcPr>
          <w:p w14:paraId="7C51656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59ABE128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516A50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6381" w:type="dxa"/>
            <w:vAlign w:val="center"/>
          </w:tcPr>
          <w:p w14:paraId="7D95BAF6" w14:textId="77777777" w:rsidR="00947538" w:rsidRPr="00AD69DB" w:rsidDel="00B02D4C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248" w:type="dxa"/>
            <w:vAlign w:val="center"/>
          </w:tcPr>
          <w:p w14:paraId="743257F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4A658E7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99DDE8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6381" w:type="dxa"/>
            <w:vAlign w:val="center"/>
          </w:tcPr>
          <w:p w14:paraId="7A028B8C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248" w:type="dxa"/>
            <w:vAlign w:val="center"/>
          </w:tcPr>
          <w:p w14:paraId="4EB073D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6258F43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0010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6381" w:type="dxa"/>
            <w:vAlign w:val="center"/>
          </w:tcPr>
          <w:p w14:paraId="035E9223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Ceļa būves un mākslīgo būvju palīgstrādnieki</w:t>
            </w:r>
          </w:p>
        </w:tc>
        <w:tc>
          <w:tcPr>
            <w:tcW w:w="1248" w:type="dxa"/>
            <w:vAlign w:val="center"/>
          </w:tcPr>
          <w:p w14:paraId="5E19049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00D1A6F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AEF705" w14:textId="77777777" w:rsidTr="00A572F4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1D302E87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C75BE1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2C0987E4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947538" w:rsidRPr="004721E2" w14:paraId="48BD0E18" w14:textId="77777777" w:rsidTr="00A572F4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10F0031C" w14:textId="77777777" w:rsidR="00947538" w:rsidRPr="00AD69DB" w:rsidRDefault="0094753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2B40F3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cilvēkstunda</w:t>
            </w:r>
          </w:p>
        </w:tc>
        <w:tc>
          <w:tcPr>
            <w:tcW w:w="1871" w:type="dxa"/>
            <w:vAlign w:val="center"/>
          </w:tcPr>
          <w:p w14:paraId="30B91DE8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640D739D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2DE0DA88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483ACA3B" w14:textId="77777777" w:rsidR="000A2B04" w:rsidRDefault="000A2B04" w:rsidP="000A2B04">
      <w:pPr>
        <w:tabs>
          <w:tab w:val="left" w:pos="5040"/>
        </w:tabs>
        <w:ind w:right="21"/>
        <w:rPr>
          <w:rFonts w:ascii="Calibri" w:hAnsi="Calibri"/>
          <w:color w:val="000000"/>
          <w:sz w:val="20"/>
        </w:rPr>
      </w:pPr>
    </w:p>
    <w:p w14:paraId="126D09D6" w14:textId="77777777" w:rsidR="000A2B04" w:rsidRPr="0000204B" w:rsidRDefault="000A2B04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</w:p>
    <w:p w14:paraId="7C1F0665" w14:textId="77777777" w:rsidR="008441D6" w:rsidRPr="004721E2" w:rsidRDefault="008441D6" w:rsidP="008441D6">
      <w:pPr>
        <w:tabs>
          <w:tab w:val="center" w:pos="8364"/>
        </w:tabs>
        <w:ind w:right="-86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20884" w14:textId="77777777" w:rsidR="0085286F" w:rsidRDefault="0085286F">
      <w:r>
        <w:separator/>
      </w:r>
    </w:p>
  </w:endnote>
  <w:endnote w:type="continuationSeparator" w:id="0">
    <w:p w14:paraId="71DD2895" w14:textId="77777777" w:rsidR="0085286F" w:rsidRDefault="0085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40A4" w14:textId="77777777" w:rsidR="006C4AFC" w:rsidRPr="00171131" w:rsidRDefault="006C4AFC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A572F4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D7CF" w14:textId="77777777" w:rsidR="008441D6" w:rsidRPr="00171131" w:rsidRDefault="008441D6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A572F4"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C4690" w14:textId="77777777" w:rsidR="0085286F" w:rsidRDefault="0085286F">
      <w:r>
        <w:separator/>
      </w:r>
    </w:p>
  </w:footnote>
  <w:footnote w:type="continuationSeparator" w:id="0">
    <w:p w14:paraId="0B82BC3D" w14:textId="77777777" w:rsidR="0085286F" w:rsidRDefault="0085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233EB"/>
    <w:rsid w:val="0003664A"/>
    <w:rsid w:val="000378B8"/>
    <w:rsid w:val="00045745"/>
    <w:rsid w:val="0005033A"/>
    <w:rsid w:val="00051CD4"/>
    <w:rsid w:val="0006332C"/>
    <w:rsid w:val="000653A7"/>
    <w:rsid w:val="0008031B"/>
    <w:rsid w:val="00082FB7"/>
    <w:rsid w:val="0009204F"/>
    <w:rsid w:val="00092558"/>
    <w:rsid w:val="00092C7B"/>
    <w:rsid w:val="00092CA8"/>
    <w:rsid w:val="000A2B04"/>
    <w:rsid w:val="000A5648"/>
    <w:rsid w:val="000B4D49"/>
    <w:rsid w:val="000C3835"/>
    <w:rsid w:val="000C44DD"/>
    <w:rsid w:val="000D570D"/>
    <w:rsid w:val="000F4207"/>
    <w:rsid w:val="00100FF7"/>
    <w:rsid w:val="0013012A"/>
    <w:rsid w:val="00133D6A"/>
    <w:rsid w:val="001375EE"/>
    <w:rsid w:val="00145DD9"/>
    <w:rsid w:val="001533EE"/>
    <w:rsid w:val="001542F9"/>
    <w:rsid w:val="00167CA0"/>
    <w:rsid w:val="00167E69"/>
    <w:rsid w:val="00171131"/>
    <w:rsid w:val="0017621A"/>
    <w:rsid w:val="001870DE"/>
    <w:rsid w:val="00193BFC"/>
    <w:rsid w:val="0019714E"/>
    <w:rsid w:val="001E76D7"/>
    <w:rsid w:val="001F4D35"/>
    <w:rsid w:val="0020161E"/>
    <w:rsid w:val="00204D3D"/>
    <w:rsid w:val="00214EC9"/>
    <w:rsid w:val="002328C0"/>
    <w:rsid w:val="00236046"/>
    <w:rsid w:val="00251C53"/>
    <w:rsid w:val="002540F0"/>
    <w:rsid w:val="002546E6"/>
    <w:rsid w:val="00260757"/>
    <w:rsid w:val="00262ABB"/>
    <w:rsid w:val="0027137C"/>
    <w:rsid w:val="002777CD"/>
    <w:rsid w:val="00282C35"/>
    <w:rsid w:val="0028433D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4A55"/>
    <w:rsid w:val="00311C2D"/>
    <w:rsid w:val="00342B36"/>
    <w:rsid w:val="0034703B"/>
    <w:rsid w:val="0036099B"/>
    <w:rsid w:val="00363F37"/>
    <w:rsid w:val="003654F0"/>
    <w:rsid w:val="00374464"/>
    <w:rsid w:val="003B563B"/>
    <w:rsid w:val="003D0453"/>
    <w:rsid w:val="003D125B"/>
    <w:rsid w:val="003E6171"/>
    <w:rsid w:val="003F37B0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13049"/>
    <w:rsid w:val="00513258"/>
    <w:rsid w:val="00526917"/>
    <w:rsid w:val="0054556C"/>
    <w:rsid w:val="00575D5B"/>
    <w:rsid w:val="00586A3E"/>
    <w:rsid w:val="005927EA"/>
    <w:rsid w:val="0059306D"/>
    <w:rsid w:val="00593404"/>
    <w:rsid w:val="00594AED"/>
    <w:rsid w:val="005B62A7"/>
    <w:rsid w:val="005C6AEC"/>
    <w:rsid w:val="005F3092"/>
    <w:rsid w:val="00603E34"/>
    <w:rsid w:val="00613E8C"/>
    <w:rsid w:val="00620567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D035C"/>
    <w:rsid w:val="006D0683"/>
    <w:rsid w:val="006D3FF2"/>
    <w:rsid w:val="006F73A9"/>
    <w:rsid w:val="007004A8"/>
    <w:rsid w:val="007274E3"/>
    <w:rsid w:val="007278EF"/>
    <w:rsid w:val="00744F1C"/>
    <w:rsid w:val="0075111B"/>
    <w:rsid w:val="00755F1E"/>
    <w:rsid w:val="007609F1"/>
    <w:rsid w:val="00771E57"/>
    <w:rsid w:val="007838CB"/>
    <w:rsid w:val="007855D0"/>
    <w:rsid w:val="00795108"/>
    <w:rsid w:val="007A2EA9"/>
    <w:rsid w:val="007A7572"/>
    <w:rsid w:val="007B7BB2"/>
    <w:rsid w:val="007D1052"/>
    <w:rsid w:val="007D59A6"/>
    <w:rsid w:val="007D71C3"/>
    <w:rsid w:val="007F529A"/>
    <w:rsid w:val="0081626E"/>
    <w:rsid w:val="00817131"/>
    <w:rsid w:val="008175C3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D5BB4"/>
    <w:rsid w:val="009E3CC1"/>
    <w:rsid w:val="009F1F2C"/>
    <w:rsid w:val="009F64B2"/>
    <w:rsid w:val="00A047DE"/>
    <w:rsid w:val="00A23B07"/>
    <w:rsid w:val="00A32088"/>
    <w:rsid w:val="00A370BB"/>
    <w:rsid w:val="00A42F4D"/>
    <w:rsid w:val="00A572F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7083"/>
    <w:rsid w:val="00AD69DB"/>
    <w:rsid w:val="00AD7872"/>
    <w:rsid w:val="00AE4BC1"/>
    <w:rsid w:val="00AF181A"/>
    <w:rsid w:val="00AF2C60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F20F7"/>
    <w:rsid w:val="00C03777"/>
    <w:rsid w:val="00C35667"/>
    <w:rsid w:val="00C42B74"/>
    <w:rsid w:val="00C43E1E"/>
    <w:rsid w:val="00C5249F"/>
    <w:rsid w:val="00C7131A"/>
    <w:rsid w:val="00C72C22"/>
    <w:rsid w:val="00C866E8"/>
    <w:rsid w:val="00CB114C"/>
    <w:rsid w:val="00CB515A"/>
    <w:rsid w:val="00CC1DE2"/>
    <w:rsid w:val="00D16329"/>
    <w:rsid w:val="00D212BF"/>
    <w:rsid w:val="00D23CA1"/>
    <w:rsid w:val="00D34D43"/>
    <w:rsid w:val="00D379D3"/>
    <w:rsid w:val="00D40DA7"/>
    <w:rsid w:val="00D47AAD"/>
    <w:rsid w:val="00D50A47"/>
    <w:rsid w:val="00D5444F"/>
    <w:rsid w:val="00D828EC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b.gov.lv/lv/respondentiem/veidlapas/2019/Tel.%20800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02A3-AC04-43D9-9ACD-D16A0B1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7808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4</cp:revision>
  <cp:lastPrinted>2012-12-05T11:36:00Z</cp:lastPrinted>
  <dcterms:created xsi:type="dcterms:W3CDTF">2019-11-29T07:50:00Z</dcterms:created>
  <dcterms:modified xsi:type="dcterms:W3CDTF">2020-02-05T10:39:00Z</dcterms:modified>
</cp:coreProperties>
</file>